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both"/>
      </w:pPr>
      <w:r>
        <w:rPr>
          <w:rFonts w:ascii="Times New Roman" w:cs="Times New Roman" w:eastAsia="Times New Roman" w:hAnsi="Times New Roman"/>
          <w:b/>
          <w:bCs/>
          <w:sz w:val="28"/>
          <w:szCs w:val="28"/>
        </w:rPr>
        <w:t xml:space="preserve">Paper 3 — venue decision note for Prof. Cheung</w:t>
      </w:r>
    </w:p>
    <w:p>
      <w:pPr>
        <w:spacing w:after="160" w:line="276"/>
        <w:jc w:val="both"/>
      </w:pPr>
      <w:r>
        <w:rPr>
          <w:rFonts w:ascii="Times New Roman" w:cs="Times New Roman" w:eastAsia="Times New Roman" w:hAnsi="Times New Roman"/>
          <w:sz w:val="22"/>
          <w:szCs w:val="22"/>
        </w:rPr>
        <w:t xml:space="preserve">Paper 3 (the Stage-3 decoupled deployment study, </w:t>
      </w:r>
      <w:r>
        <w:rPr>
          <w:rFonts w:ascii="Times New Roman" w:cs="Times New Roman" w:eastAsia="Times New Roman" w:hAnsi="Times New Roman"/>
          <w:i/>
          <w:iCs/>
          <w:sz w:val="22"/>
          <w:szCs w:val="22"/>
        </w:rPr>
        <w:t xml:space="preserve">Decoupling the Clinical Attachment from Gamified Fall Risk Assessment</w:t>
      </w:r>
      <w:r>
        <w:rPr>
          <w:rFonts w:ascii="Times New Roman" w:cs="Times New Roman" w:eastAsia="Times New Roman" w:hAnsi="Times New Roman"/>
          <w:sz w:val="22"/>
          <w:szCs w:val="22"/>
        </w:rPr>
        <w:t xml:space="preserve">) is ready for submission with two complete, verified packages. Per our agreement, no submission will be made until you approve the venue. Both packages carry the approved ethics reference (HSEARS20260805008), identical results, and full declarations; only formatting differs.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4180"/>
        <w:gridCol w:w="4180"/>
      </w:tblGrid>
      <w:tr>
        <w:tc>
          <w:tcPr>
            <w:tcW w:type="dxa" w:w="1600"/>
            <w:shd w:fill="EAF1FD" w:val="clear"/>
            <w:tcMar>
              <w:top w:type="dxa" w:w="80"/>
              <w:left w:type="dxa" w:w="120"/>
              <w:bottom w:type="dxa" w:w="80"/>
              <w:right w:type="dxa" w:w="120"/>
            </w:tcMar>
          </w:tcPr>
          <w:p>
            <w:r>
              <w:rPr>
                <w:rFonts w:ascii="Times New Roman" w:cs="Times New Roman" w:eastAsia="Times New Roman" w:hAnsi="Times New Roman"/>
                <w:b/>
                <w:bCs/>
                <w:sz w:val="21"/>
                <w:szCs w:val="21"/>
              </w:rPr>
              <w:t xml:space="preserve"/>
            </w:r>
          </w:p>
        </w:tc>
        <w:tc>
          <w:tcPr>
            <w:tcW w:type="dxa" w:w="4180"/>
            <w:shd w:fill="EAF1FD" w:val="clear"/>
            <w:tcMar>
              <w:top w:type="dxa" w:w="80"/>
              <w:left w:type="dxa" w:w="120"/>
              <w:bottom w:type="dxa" w:w="80"/>
              <w:right w:type="dxa" w:w="120"/>
            </w:tcMar>
          </w:tcPr>
          <w:p>
            <w:r>
              <w:rPr>
                <w:rFonts w:ascii="Times New Roman" w:cs="Times New Roman" w:eastAsia="Times New Roman" w:hAnsi="Times New Roman"/>
                <w:b/>
                <w:bCs/>
                <w:sz w:val="21"/>
                <w:szCs w:val="21"/>
              </w:rPr>
              <w:t xml:space="preserve">JMIR Serious Games</w:t>
            </w:r>
          </w:p>
        </w:tc>
        <w:tc>
          <w:tcPr>
            <w:tcW w:type="dxa" w:w="4180"/>
            <w:shd w:fill="EAF1FD" w:val="clear"/>
            <w:tcMar>
              <w:top w:type="dxa" w:w="80"/>
              <w:left w:type="dxa" w:w="120"/>
              <w:bottom w:type="dxa" w:w="80"/>
              <w:right w:type="dxa" w:w="120"/>
            </w:tcMar>
          </w:tcPr>
          <w:p>
            <w:r>
              <w:rPr>
                <w:rFonts w:ascii="Times New Roman" w:cs="Times New Roman" w:eastAsia="Times New Roman" w:hAnsi="Times New Roman"/>
                <w:b/>
                <w:bCs/>
                <w:sz w:val="21"/>
                <w:szCs w:val="21"/>
              </w:rPr>
              <w:t xml:space="preserve">IEEE Access</w:t>
            </w:r>
          </w:p>
        </w:tc>
      </w:tr>
      <w:tr>
        <w:tc>
          <w:tcPr>
            <w:tcW w:type="dxa" w:w="1600"/>
            <w:tcMar>
              <w:top w:type="dxa" w:w="80"/>
              <w:left w:type="dxa" w:w="120"/>
              <w:bottom w:type="dxa" w:w="80"/>
              <w:right w:type="dxa" w:w="120"/>
            </w:tcMar>
          </w:tcPr>
          <w:p>
            <w:r>
              <w:rPr>
                <w:rFonts w:ascii="Times New Roman" w:cs="Times New Roman" w:eastAsia="Times New Roman" w:hAnsi="Times New Roman"/>
                <w:b/>
                <w:bCs/>
                <w:sz w:val="21"/>
                <w:szCs w:val="21"/>
              </w:rPr>
              <w:t xml:space="preserve">Fit</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Serious-games/health journal; the study's framing (gamified FRA, engagement, abandonment) is squarely in scope</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Broad engineering venue; fits via the systems/deployment angle rather than the health-games core</w:t>
            </w:r>
          </w:p>
        </w:tc>
      </w:tr>
      <w:tr>
        <w:tc>
          <w:tcPr>
            <w:tcW w:type="dxa" w:w="1600"/>
            <w:tcMar>
              <w:top w:type="dxa" w:w="80"/>
              <w:left w:type="dxa" w:w="120"/>
              <w:bottom w:type="dxa" w:w="80"/>
              <w:right w:type="dxa" w:w="120"/>
            </w:tcMar>
          </w:tcPr>
          <w:p>
            <w:r>
              <w:rPr>
                <w:rFonts w:ascii="Times New Roman" w:cs="Times New Roman" w:eastAsia="Times New Roman" w:hAnsi="Times New Roman"/>
                <w:b/>
                <w:bCs/>
                <w:sz w:val="21"/>
                <w:szCs w:val="21"/>
              </w:rPr>
              <w:t xml:space="preserve">Indexing / profile</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JIF 4.7 (JCR 2026); MEDLINE/PubMed</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Ei Compendex, Scopus, SCIE; large-volume open-access venue</w:t>
            </w:r>
          </w:p>
        </w:tc>
      </w:tr>
      <w:tr>
        <w:tc>
          <w:tcPr>
            <w:tcW w:type="dxa" w:w="1600"/>
            <w:tcMar>
              <w:top w:type="dxa" w:w="80"/>
              <w:left w:type="dxa" w:w="120"/>
              <w:bottom w:type="dxa" w:w="80"/>
              <w:right w:type="dxa" w:w="120"/>
            </w:tcMar>
          </w:tcPr>
          <w:p>
            <w:r>
              <w:rPr>
                <w:rFonts w:ascii="Times New Roman" w:cs="Times New Roman" w:eastAsia="Times New Roman" w:hAnsi="Times New Roman"/>
                <w:b/>
                <w:bCs/>
                <w:sz w:val="21"/>
                <w:szCs w:val="21"/>
              </w:rPr>
              <w:t xml:space="preserve">Cost</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APC on acceptance (approx. US$2,000-3,000)</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Mandatory APC approx. US$1,995</w:t>
            </w:r>
          </w:p>
        </w:tc>
      </w:tr>
      <w:tr>
        <w:tc>
          <w:tcPr>
            <w:tcW w:type="dxa" w:w="1600"/>
            <w:tcMar>
              <w:top w:type="dxa" w:w="80"/>
              <w:left w:type="dxa" w:w="120"/>
              <w:bottom w:type="dxa" w:w="80"/>
              <w:right w:type="dxa" w:w="120"/>
            </w:tcMar>
          </w:tcPr>
          <w:p>
            <w:r>
              <w:rPr>
                <w:rFonts w:ascii="Times New Roman" w:cs="Times New Roman" w:eastAsia="Times New Roman" w:hAnsi="Times New Roman"/>
                <w:b/>
                <w:bCs/>
                <w:sz w:val="21"/>
                <w:szCs w:val="21"/>
              </w:rPr>
              <w:t xml:space="preserve">Format status</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Package complete: named sections, structured abstract, figures within 1200x1200 embedded</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Package complete: manuscript + TIFF figures + cover letter (double-column conversion at production)</w:t>
            </w:r>
          </w:p>
        </w:tc>
      </w:tr>
      <w:tr>
        <w:tc>
          <w:tcPr>
            <w:tcW w:type="dxa" w:w="1600"/>
            <w:tcMar>
              <w:top w:type="dxa" w:w="80"/>
              <w:left w:type="dxa" w:w="120"/>
              <w:bottom w:type="dxa" w:w="80"/>
              <w:right w:type="dxa" w:w="120"/>
            </w:tcMar>
          </w:tcPr>
          <w:p>
            <w:r>
              <w:rPr>
                <w:rFonts w:ascii="Times New Roman" w:cs="Times New Roman" w:eastAsia="Times New Roman" w:hAnsi="Times New Roman"/>
                <w:b/>
                <w:bCs/>
                <w:sz w:val="21"/>
                <w:szCs w:val="21"/>
              </w:rPr>
              <w:t xml:space="preserve">Special consideration</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Prior history: Paper 2 was submitted here and withdrawn 11 Sep, pre-review; cover letter now discloses this openly and an apology letter is drafted for the editorial office</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No prior history with the venue</w:t>
            </w:r>
          </w:p>
        </w:tc>
      </w:tr>
      <w:tr>
        <w:tc>
          <w:tcPr>
            <w:tcW w:type="dxa" w:w="1600"/>
            <w:tcMar>
              <w:top w:type="dxa" w:w="80"/>
              <w:left w:type="dxa" w:w="120"/>
              <w:bottom w:type="dxa" w:w="80"/>
              <w:right w:type="dxa" w:w="120"/>
            </w:tcMar>
          </w:tcPr>
          <w:p>
            <w:r>
              <w:rPr>
                <w:rFonts w:ascii="Times New Roman" w:cs="Times New Roman" w:eastAsia="Times New Roman" w:hAnsi="Times New Roman"/>
                <w:b/>
                <w:bCs/>
                <w:sz w:val="21"/>
                <w:szCs w:val="21"/>
              </w:rPr>
              <w:t xml:space="preserve">Requirements</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ORCIDs mandatory for all authors (your ORCID needed for the form)</w:t>
            </w:r>
          </w:p>
        </w:tc>
        <w:tc>
          <w:tcPr>
            <w:tcW w:type="dxa" w:w="4180"/>
            <w:tcMar>
              <w:top w:type="dxa" w:w="80"/>
              <w:left w:type="dxa" w:w="120"/>
              <w:bottom w:type="dxa" w:w="80"/>
              <w:right w:type="dxa" w:w="120"/>
            </w:tcMar>
          </w:tcPr>
          <w:p>
            <w:r>
              <w:rPr>
                <w:rFonts w:ascii="Times New Roman" w:cs="Times New Roman" w:eastAsia="Times New Roman" w:hAnsi="Times New Roman"/>
                <w:b w:val="false"/>
                <w:bCs w:val="false"/>
                <w:sz w:val="21"/>
                <w:szCs w:val="21"/>
              </w:rPr>
              <w:t xml:space="preserve">Standard Author Portal submission</w:t>
            </w:r>
          </w:p>
        </w:tc>
      </w:tr>
    </w:tbl>
    <w:p>
      <w:pPr>
        <w:spacing w:after="60"/>
        <w:jc w:val="both"/>
      </w:pPr>
      <w:r>
        <w:rPr>
          <w:rFonts w:ascii="Times New Roman" w:cs="Times New Roman" w:eastAsia="Times New Roman" w:hAnsi="Times New Roman"/>
          <w:sz w:val="22"/>
          <w:szCs w:val="22"/>
        </w:rPr>
        <w:t xml:space="preserve"/>
      </w:r>
    </w:p>
    <w:p>
      <w:pPr>
        <w:spacing w:after="160" w:line="276"/>
        <w:jc w:val="both"/>
      </w:pPr>
      <w:r>
        <w:rPr>
          <w:rFonts w:ascii="Times New Roman" w:cs="Times New Roman" w:eastAsia="Times New Roman" w:hAnsi="Times New Roman"/>
          <w:sz w:val="22"/>
          <w:szCs w:val="22"/>
        </w:rPr>
        <w:t xml:space="preserve">Whichever venue you choose, the paper is submitted there alone; the other package is held in reserve. Paper 2 remains at JIKM as its single venue. I will make no submission, and send no correspondence to any editorial office, without your prior approval.</w:t>
      </w:r>
    </w:p>
    <w:p>
      <w:pPr>
        <w:spacing w:after="160" w:line="276"/>
        <w:jc w:val="both"/>
      </w:pPr>
      <w:r>
        <w:rPr>
          <w:rFonts w:ascii="Times New Roman" w:cs="Times New Roman" w:eastAsia="Times New Roman" w:hAnsi="Times New Roman"/>
          <w:b/>
          <w:bCs/>
          <w:sz w:val="22"/>
          <w:szCs w:val="22"/>
        </w:rPr>
        <w:t xml:space="preserve">Sidney</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2026-09-12T02:58:56.959Z</dcterms:created>
  <dcterms:modified xsi:type="dcterms:W3CDTF">2026-09-12T02:58:56.971Z</dcterms:modified>
</cp:coreProperties>
</file>

<file path=docProps/custom.xml><?xml version="1.0" encoding="utf-8"?>
<Properties xmlns="http://schemas.openxmlformats.org/officeDocument/2006/custom-properties" xmlns:vt="http://schemas.openxmlformats.org/officeDocument/2006/docPropsVTypes"/>
</file>