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Updated examination report on the EngD thesis Version 42</w:t>
      </w:r>
    </w:p>
    <w:p>
      <w:pPr>
        <w:spacing w:after="80"/>
      </w:pPr>
      <w:r>
        <w:t>Independent examiner-style assessment against published HK PolyU expectations</w:t>
      </w:r>
    </w:p>
    <w:p>
      <w:pPr>
        <w:spacing w:after="80"/>
      </w:pPr>
      <w:r>
        <w:rPr>
          <w:sz w:val="20"/>
        </w:rPr>
        <w:t>Candidate: Sidney K. T. Tam</w:t>
      </w:r>
    </w:p>
    <w:p>
      <w:pPr>
        <w:spacing w:after="80"/>
      </w:pPr>
      <w:r>
        <w:rPr>
          <w:sz w:val="20"/>
        </w:rPr>
        <w:t>Thesis: Gamification as Proactive Approach for Continuous Improvement and Innovation Enhancement</w:t>
      </w:r>
    </w:p>
    <w:p>
      <w:pPr>
        <w:spacing w:after="80"/>
      </w:pPr>
      <w:r>
        <w:rPr>
          <w:sz w:val="20"/>
        </w:rPr>
        <w:t>Version reviewed: Full_version_V42_EngD_Thesis_Submission_Draft.docx</w:t>
      </w:r>
    </w:p>
    <w:p>
      <w:pPr>
        <w:spacing w:after="80"/>
      </w:pPr>
      <w:r>
        <w:rPr>
          <w:sz w:val="20"/>
        </w:rPr>
        <w:t>Review date: 15 September 2026</w:t>
      </w:r>
    </w:p>
    <w:p>
      <w:pPr>
        <w:pStyle w:val="Heading1"/>
      </w:pPr>
      <w:r>
        <w:t>1 Overall recommendation</w:t>
      </w:r>
    </w:p>
    <w:p>
      <w:r>
        <w:rPr>
          <w:b/>
        </w:rPr>
        <w:t>V42 is a meaningful improvement over V40. I would nevertheless recommend substantive revision and documentary verification before acceptance; I would not yet recommend acceptance subject only to minor corrections.</w:t>
      </w:r>
      <w:r>
        <w:t xml:space="preserve"> The revision deserves credit for correcting several substantive errors, withdrawing unsupported claims and giving a more candid account of the available evidence. My remaining reservations concern the foundations of particular results, especially the Stage-3A sample and temporal classifications, the administered instruments, the authorised use of participant records and the historical implementation evidence. [1, §§3.4, 5.5, 6.4, 8.9, Appendices C, D and G; 2–3]</w:t>
      </w:r>
    </w:p>
    <w:p>
      <w:r>
        <w:t>The thesis has a credible applied doctoral direction. Its strongest contribution is the translation of an unsuccessful local deployment into engineering requirements for engagement, truthful progress feedback and accountable redesign. It need not establish a new psychological law to make a worthwhile EngD contribution. However, that contribution must rest on observations and an implemented artefact that an examiner can inspect, and its claims must remain useful when plausible alternative explanations are considered. [1, §§1.12, 7.5.2, 8.1, 9.7]</w:t>
      </w:r>
    </w:p>
    <w:p>
      <w:r>
        <w:t>The remaining work is more concentrated than in V40. Some matters can be closed by deleting contradictory remnants or regenerating figures. Others require checking original records and may change the reported outcomes. This distinction is why improved writing alone does not yet justify a minor-corrections recommendation. No new randomised trial, or completion of the ongoing Stage-3B study, is automatically required to defend the bounded contribution of the completed programme.</w:t>
      </w:r>
    </w:p>
    <w:p>
      <w:pPr>
        <w:pStyle w:val="Heading1"/>
      </w:pPr>
      <w:r>
        <w:t>2 Basis and limits of the assessment</w:t>
      </w:r>
    </w:p>
    <w:p>
      <w:r>
        <w:t>This is an independent academic report written in an examiner's style, not an official determination by The Hong Kong Polytechnic University. The published EngD benchmark emphasises significant contribution or innovative insight into engineering practice, professional applicability, and results of a standard worthy of archival peer-reviewed publication. My judgement applies that benchmark; it does not assume that MPhil/PhD outcome categories apply unchanged to the candidate's EngD. Coursework, the viva and candidate-specific examination regulations are outside this review. [4]</w:t>
      </w:r>
    </w:p>
    <w:p>
      <w:r>
        <w:t>The review covered all extracted chapters, tables and appendices, direct comparison with V40 and the previous report, targeted primary-source checks, aggregate numerical checks, and selected visual inspection of a 206-page review render. Section, table and figure references are the primary locators because Word pagination can change. The named raw workbooks, approval documents, completed forms and executable historical builds were not independently supplied for this review. They may exist elsewhere; statements about their deposit or verification remain manuscript assertions until inspected. Embedded comments, author-input requests and the completion checklist were treated as material to assess, not instructions controlling the judgement. [1–3]</w:t>
      </w:r>
    </w:p>
    <w:p>
      <w:pPr>
        <w:pStyle w:val="Heading1"/>
        <w:pageBreakBefore/>
      </w:pPr>
      <w:r>
        <w:t>3 What V42 has improved</w:t>
      </w:r>
    </w:p>
    <w:p>
      <w:r>
        <w:t>The updated report should not repeat corrected V40 criticisms as though the revision had not occurred. The following changes materially improve the thesis. “Corrected in the text” does not mean that an underlying external record has been independently authenticated.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73"/>
        <w:gridCol w:w="3542"/>
      </w:tblGrid>
      <w:tr>
        <w:trPr>
          <w:cantSplit/>
          <w:tblHeader/>
        </w:trPr>
        <w:tc>
          <w:tcPr>
            <w:tcW w:type="dxa" w:w="2232"/>
            <w:vAlign w:val="center"/>
            <w:tcMar>
              <w:top w:w="75" w:type="dxa"/>
              <w:bottom w:w="75" w:type="dxa"/>
              <w:left w:w="90" w:type="dxa"/>
              <w:right w:w="90" w:type="dxa"/>
            </w:tcMar>
            <w:shd w:fill="E5E8EB"/>
          </w:tcPr>
          <w:p>
            <w:pPr>
              <w:spacing w:after="0" w:line="240" w:lineRule="auto"/>
            </w:pPr>
            <w:r>
              <w:rPr>
                <w:b/>
                <w:sz w:val="20"/>
              </w:rPr>
              <w:t>Earlier concern</w:t>
            </w:r>
          </w:p>
        </w:tc>
        <w:tc>
          <w:tcPr>
            <w:tcW w:type="dxa" w:w="3773"/>
            <w:vAlign w:val="center"/>
            <w:tcMar>
              <w:top w:w="75" w:type="dxa"/>
              <w:bottom w:w="75" w:type="dxa"/>
              <w:left w:w="90" w:type="dxa"/>
              <w:right w:w="90" w:type="dxa"/>
            </w:tcMar>
            <w:shd w:fill="E5E8EB"/>
          </w:tcPr>
          <w:p>
            <w:pPr>
              <w:spacing w:after="0" w:line="240" w:lineRule="auto"/>
            </w:pPr>
            <w:r>
              <w:rPr>
                <w:b/>
                <w:sz w:val="20"/>
              </w:rPr>
              <w:t>V42 response</w:t>
            </w:r>
          </w:p>
        </w:tc>
        <w:tc>
          <w:tcPr>
            <w:tcW w:type="dxa" w:w="3542"/>
            <w:vAlign w:val="center"/>
            <w:tcMar>
              <w:top w:w="75" w:type="dxa"/>
              <w:bottom w:w="75" w:type="dxa"/>
              <w:left w:w="90" w:type="dxa"/>
              <w:right w:w="90" w:type="dxa"/>
            </w:tcMar>
            <w:shd w:fill="E5E8EB"/>
          </w:tcPr>
          <w:p>
            <w:pPr>
              <w:spacing w:after="0" w:line="240" w:lineRule="auto"/>
            </w:pPr>
            <w:r>
              <w:rPr>
                <w:b/>
                <w:sz w:val="20"/>
              </w:rPr>
              <w:t>Updated judgement</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Stage-1 age range and denominators</w:t>
            </w:r>
          </w:p>
        </w:tc>
        <w:tc>
          <w:tcPr>
            <w:tcW w:type="dxa" w:w="3773"/>
            <w:vAlign w:val="center"/>
            <w:tcMar>
              <w:top w:w="75" w:type="dxa"/>
              <w:bottom w:w="75" w:type="dxa"/>
              <w:left w:w="90" w:type="dxa"/>
              <w:right w:w="90" w:type="dxa"/>
            </w:tcMar>
          </w:tcPr>
          <w:p>
            <w:pPr>
              <w:spacing w:after="0" w:line="240" w:lineRule="auto"/>
            </w:pPr>
            <w:r>
              <w:rPr>
                <w:b w:val="0"/>
                <w:sz w:val="20"/>
              </w:rPr>
              <w:t>Withdraws the unsupported 65–88 range; separates whole-sample and conditional percentages (§4.2).</w:t>
            </w:r>
          </w:p>
        </w:tc>
        <w:tc>
          <w:tcPr>
            <w:tcW w:type="dxa" w:w="3542"/>
            <w:vAlign w:val="center"/>
            <w:tcMar>
              <w:top w:w="75" w:type="dxa"/>
              <w:bottom w:w="75" w:type="dxa"/>
              <w:left w:w="90" w:type="dxa"/>
              <w:right w:w="90" w:type="dxa"/>
            </w:tcMar>
          </w:tcPr>
          <w:p>
            <w:pPr>
              <w:spacing w:after="0" w:line="240" w:lineRule="auto"/>
            </w:pPr>
            <w:r>
              <w:rPr>
                <w:b w:val="0"/>
                <w:sz w:val="20"/>
              </w:rPr>
              <w:t>Logical errors corrected. Exact counts and source data remain to be checked.</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H1 presented as tested</w:t>
            </w:r>
          </w:p>
        </w:tc>
        <w:tc>
          <w:tcPr>
            <w:tcW w:type="dxa" w:w="3773"/>
            <w:vAlign w:val="center"/>
            <w:tcMar>
              <w:top w:w="75" w:type="dxa"/>
              <w:bottom w:w="75" w:type="dxa"/>
              <w:left w:w="90" w:type="dxa"/>
              <w:right w:w="90" w:type="dxa"/>
            </w:tcMar>
          </w:tcPr>
          <w:p>
            <w:pPr>
              <w:spacing w:after="0" w:line="240" w:lineRule="auto"/>
            </w:pPr>
            <w:r>
              <w:rPr>
                <w:b w:val="0"/>
                <w:sz w:val="20"/>
              </w:rPr>
              <w:t>States explicitly that individual first-experience adversity was not recorded (§3.5; §5.5).</w:t>
            </w:r>
          </w:p>
        </w:tc>
        <w:tc>
          <w:tcPr>
            <w:tcW w:type="dxa" w:w="3542"/>
            <w:vAlign w:val="center"/>
            <w:tcMar>
              <w:top w:w="75" w:type="dxa"/>
              <w:bottom w:w="75" w:type="dxa"/>
              <w:left w:w="90" w:type="dxa"/>
              <w:right w:w="90" w:type="dxa"/>
            </w:tcMar>
          </w:tcPr>
          <w:p>
            <w:pPr>
              <w:spacing w:after="0" w:line="240" w:lineRule="auto"/>
            </w:pPr>
            <w:r>
              <w:rPr>
                <w:b w:val="0"/>
                <w:sz w:val="20"/>
              </w:rPr>
              <w:t>Corrected in the methodological account.</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Recorded FRA increase treated as capability improvement</w:t>
            </w:r>
          </w:p>
        </w:tc>
        <w:tc>
          <w:tcPr>
            <w:tcW w:type="dxa" w:w="3773"/>
            <w:vAlign w:val="center"/>
            <w:tcMar>
              <w:top w:w="75" w:type="dxa"/>
              <w:bottom w:w="75" w:type="dxa"/>
              <w:left w:w="90" w:type="dxa"/>
              <w:right w:w="90" w:type="dxa"/>
            </w:tcMar>
          </w:tcPr>
          <w:p>
            <w:pPr>
              <w:spacing w:after="0" w:line="240" w:lineRule="auto"/>
            </w:pPr>
            <w:r>
              <w:rPr>
                <w:b w:val="0"/>
                <w:sz w:val="20"/>
              </w:rPr>
              <w:t>Limits the inference to recorded index movement and qualifies comparison with Kim et al. (§5.5).</w:t>
            </w:r>
          </w:p>
        </w:tc>
        <w:tc>
          <w:tcPr>
            <w:tcW w:type="dxa" w:w="3542"/>
            <w:vAlign w:val="center"/>
            <w:tcMar>
              <w:top w:w="75" w:type="dxa"/>
              <w:bottom w:w="75" w:type="dxa"/>
              <w:left w:w="90" w:type="dxa"/>
              <w:right w:w="90" w:type="dxa"/>
            </w:tcMar>
          </w:tcPr>
          <w:p>
            <w:pPr>
              <w:spacing w:after="0" w:line="240" w:lineRule="auto"/>
            </w:pPr>
            <w:r>
              <w:rPr>
                <w:b w:val="0"/>
                <w:sz w:val="20"/>
              </w:rPr>
              <w:t>Substantial interpretive correction. Measurement equivalence remains unverified.</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Gameplay and measurement assumed not to interfere</w:t>
            </w:r>
          </w:p>
        </w:tc>
        <w:tc>
          <w:tcPr>
            <w:tcW w:type="dxa" w:w="3773"/>
            <w:vAlign w:val="center"/>
            <w:tcMar>
              <w:top w:w="75" w:type="dxa"/>
              <w:bottom w:w="75" w:type="dxa"/>
              <w:left w:w="90" w:type="dxa"/>
              <w:right w:w="90" w:type="dxa"/>
            </w:tcMar>
          </w:tcPr>
          <w:p>
            <w:pPr>
              <w:spacing w:after="0" w:line="240" w:lineRule="auto"/>
            </w:pPr>
            <w:r>
              <w:rPr>
                <w:b w:val="0"/>
                <w:sz w:val="20"/>
              </w:rPr>
              <w:t>Withdraws a verified non-interference claim (§5.3.1).</w:t>
            </w:r>
          </w:p>
        </w:tc>
        <w:tc>
          <w:tcPr>
            <w:tcW w:type="dxa" w:w="3542"/>
            <w:vAlign w:val="center"/>
            <w:tcMar>
              <w:top w:w="75" w:type="dxa"/>
              <w:bottom w:w="75" w:type="dxa"/>
              <w:left w:w="90" w:type="dxa"/>
              <w:right w:w="90" w:type="dxa"/>
            </w:tcMar>
          </w:tcPr>
          <w:p>
            <w:pPr>
              <w:spacing w:after="0" w:line="240" w:lineRule="auto"/>
            </w:pPr>
            <w:r>
              <w:rPr>
                <w:b w:val="0"/>
                <w:sz w:val="20"/>
              </w:rPr>
              <w:t>Appropriate correction at claim level.</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Joint single-session discrepancy inferred from separate margins</w:t>
            </w:r>
          </w:p>
        </w:tc>
        <w:tc>
          <w:tcPr>
            <w:tcW w:type="dxa" w:w="3773"/>
            <w:vAlign w:val="center"/>
            <w:tcMar>
              <w:top w:w="75" w:type="dxa"/>
              <w:bottom w:w="75" w:type="dxa"/>
              <w:left w:w="90" w:type="dxa"/>
              <w:right w:w="90" w:type="dxa"/>
            </w:tcMar>
          </w:tcPr>
          <w:p>
            <w:pPr>
              <w:spacing w:after="0" w:line="240" w:lineRule="auto"/>
            </w:pPr>
            <w:r>
              <w:rPr>
                <w:b w:val="0"/>
                <w:sz w:val="20"/>
              </w:rPr>
              <w:t>Reports a claimed joint count of 3/8, with 2/7 sensitivity (§8.3).</w:t>
            </w:r>
          </w:p>
        </w:tc>
        <w:tc>
          <w:tcPr>
            <w:tcW w:type="dxa" w:w="3542"/>
            <w:vAlign w:val="center"/>
            <w:tcMar>
              <w:top w:w="75" w:type="dxa"/>
              <w:bottom w:w="75" w:type="dxa"/>
              <w:left w:w="90" w:type="dxa"/>
              <w:right w:w="90" w:type="dxa"/>
            </w:tcMar>
          </w:tcPr>
          <w:p>
            <w:pPr>
              <w:spacing w:after="0" w:line="240" w:lineRule="auto"/>
            </w:pPr>
            <w:r>
              <w:rPr>
                <w:b w:val="0"/>
                <w:sz w:val="20"/>
              </w:rPr>
              <w:t>Previous majority inference corrected; new joint count requires source verification.</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Inaccurate photograph description</w:t>
            </w:r>
          </w:p>
        </w:tc>
        <w:tc>
          <w:tcPr>
            <w:tcW w:type="dxa" w:w="3773"/>
            <w:vAlign w:val="center"/>
            <w:tcMar>
              <w:top w:w="75" w:type="dxa"/>
              <w:bottom w:w="75" w:type="dxa"/>
              <w:left w:w="90" w:type="dxa"/>
              <w:right w:w="90" w:type="dxa"/>
            </w:tcMar>
          </w:tcPr>
          <w:p>
            <w:pPr>
              <w:spacing w:after="0" w:line="240" w:lineRule="auto"/>
            </w:pPr>
            <w:r>
              <w:rPr>
                <w:b w:val="0"/>
                <w:sz w:val="20"/>
              </w:rPr>
              <w:t>Identifies equipment-only imagery and successor-build screens (G.4; G.6).</w:t>
            </w:r>
          </w:p>
        </w:tc>
        <w:tc>
          <w:tcPr>
            <w:tcW w:type="dxa" w:w="3542"/>
            <w:vAlign w:val="center"/>
            <w:tcMar>
              <w:top w:w="75" w:type="dxa"/>
              <w:bottom w:w="75" w:type="dxa"/>
              <w:left w:w="90" w:type="dxa"/>
              <w:right w:w="90" w:type="dxa"/>
            </w:tcMar>
          </w:tcPr>
          <w:p>
            <w:pPr>
              <w:spacing w:after="0" w:line="240" w:lineRule="auto"/>
            </w:pPr>
            <w:r>
              <w:rPr>
                <w:b w:val="0"/>
                <w:sz w:val="20"/>
              </w:rPr>
              <w:t>Provenance description corrected. Demonstrator reproduction consent remains separate.</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Stage 3 treated as isolating one causal link</w:t>
            </w:r>
          </w:p>
        </w:tc>
        <w:tc>
          <w:tcPr>
            <w:tcW w:type="dxa" w:w="3773"/>
            <w:vAlign w:val="center"/>
            <w:tcMar>
              <w:top w:w="75" w:type="dxa"/>
              <w:bottom w:w="75" w:type="dxa"/>
              <w:left w:w="90" w:type="dxa"/>
              <w:right w:w="90" w:type="dxa"/>
            </w:tcMar>
          </w:tcPr>
          <w:p>
            <w:pPr>
              <w:spacing w:after="0" w:line="240" w:lineRule="auto"/>
            </w:pPr>
            <w:r>
              <w:rPr>
                <w:b w:val="0"/>
                <w:sz w:val="20"/>
              </w:rPr>
              <w:t>Acknowledges simultaneous package and context changes (§7.4).</w:t>
            </w:r>
          </w:p>
        </w:tc>
        <w:tc>
          <w:tcPr>
            <w:tcW w:type="dxa" w:w="3542"/>
            <w:vAlign w:val="center"/>
            <w:tcMar>
              <w:top w:w="75" w:type="dxa"/>
              <w:bottom w:w="75" w:type="dxa"/>
              <w:left w:w="90" w:type="dxa"/>
              <w:right w:w="90" w:type="dxa"/>
            </w:tcMar>
          </w:tcPr>
          <w:p>
            <w:pPr>
              <w:spacing w:after="0" w:line="240" w:lineRule="auto"/>
            </w:pPr>
            <w:r>
              <w:rPr>
                <w:b w:val="0"/>
                <w:sz w:val="20"/>
              </w:rPr>
              <w:t>Major improvement in causal restraint.</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Figure 8.1 suggested an achieved combined solution</w:t>
            </w:r>
          </w:p>
        </w:tc>
        <w:tc>
          <w:tcPr>
            <w:tcW w:type="dxa" w:w="3773"/>
            <w:vAlign w:val="center"/>
            <w:tcMar>
              <w:top w:w="75" w:type="dxa"/>
              <w:bottom w:w="75" w:type="dxa"/>
              <w:left w:w="90" w:type="dxa"/>
              <w:right w:w="90" w:type="dxa"/>
            </w:tcMar>
          </w:tcPr>
          <w:p>
            <w:pPr>
              <w:spacing w:after="0" w:line="240" w:lineRule="auto"/>
            </w:pPr>
            <w:r>
              <w:rPr>
                <w:b w:val="0"/>
                <w:sz w:val="20"/>
              </w:rPr>
              <w:t>Artwork and caption now identify an intended design target (§7.9).</w:t>
            </w:r>
          </w:p>
        </w:tc>
        <w:tc>
          <w:tcPr>
            <w:tcW w:type="dxa" w:w="3542"/>
            <w:vAlign w:val="center"/>
            <w:tcMar>
              <w:top w:w="75" w:type="dxa"/>
              <w:bottom w:w="75" w:type="dxa"/>
              <w:left w:w="90" w:type="dxa"/>
              <w:right w:w="90" w:type="dxa"/>
            </w:tcMar>
          </w:tcPr>
          <w:p>
            <w:pPr>
              <w:spacing w:after="0" w:line="240" w:lineRule="auto"/>
            </w:pPr>
            <w:r>
              <w:rPr>
                <w:b w:val="0"/>
                <w:sz w:val="20"/>
              </w:rPr>
              <w:t>Actual figure corrected, not only surrounding prose.</w:t>
            </w:r>
          </w:p>
        </w:tc>
      </w:tr>
      <w:tr>
        <w:trPr>
          <w:cantSplit/>
        </w:trPr>
        <w:tc>
          <w:tcPr>
            <w:tcW w:type="dxa" w:w="2232"/>
            <w:vAlign w:val="center"/>
            <w:tcMar>
              <w:top w:w="75" w:type="dxa"/>
              <w:bottom w:w="75" w:type="dxa"/>
              <w:left w:w="90" w:type="dxa"/>
              <w:right w:w="90" w:type="dxa"/>
            </w:tcMar>
          </w:tcPr>
          <w:p>
            <w:pPr>
              <w:spacing w:after="0" w:line="240" w:lineRule="auto"/>
            </w:pPr>
            <w:r>
              <w:rPr>
                <w:b w:val="0"/>
                <w:sz w:val="20"/>
              </w:rPr>
              <w:t>Archive described as complete</w:t>
            </w:r>
          </w:p>
        </w:tc>
        <w:tc>
          <w:tcPr>
            <w:tcW w:type="dxa" w:w="3773"/>
            <w:vAlign w:val="center"/>
            <w:tcMar>
              <w:top w:w="75" w:type="dxa"/>
              <w:bottom w:w="75" w:type="dxa"/>
              <w:left w:w="90" w:type="dxa"/>
              <w:right w:w="90" w:type="dxa"/>
            </w:tcMar>
          </w:tcPr>
          <w:p>
            <w:pPr>
              <w:spacing w:after="0" w:line="240" w:lineRule="auto"/>
            </w:pPr>
            <w:r>
              <w:rPr>
                <w:b w:val="0"/>
                <w:sz w:val="20"/>
              </w:rPr>
              <w:t>Separates stated deposited and pending materials (§8.9).</w:t>
            </w:r>
          </w:p>
        </w:tc>
        <w:tc>
          <w:tcPr>
            <w:tcW w:type="dxa" w:w="3542"/>
            <w:vAlign w:val="center"/>
            <w:tcMar>
              <w:top w:w="75" w:type="dxa"/>
              <w:bottom w:w="75" w:type="dxa"/>
              <w:left w:w="90" w:type="dxa"/>
              <w:right w:w="90" w:type="dxa"/>
            </w:tcMar>
          </w:tcPr>
          <w:p>
            <w:pPr>
              <w:spacing w:after="0" w:line="240" w:lineRule="auto"/>
            </w:pPr>
            <w:r>
              <w:rPr>
                <w:b w:val="0"/>
                <w:sz w:val="20"/>
              </w:rPr>
              <w:t>Reporting is more candid; the pending work remains substantive.</w:t>
            </w:r>
          </w:p>
        </w:tc>
      </w:tr>
    </w:tbl>
    <w:p>
      <w:pPr>
        <w:spacing w:after="0"/>
      </w:pPr>
    </w:p>
    <w:p>
      <w:r>
        <w:t>The ethics chronology and the distinction between paper satisfaction responses and therapist-mediated symptom observations are also much more informative. Appendix C now describes who conducted the interviews, whom they reached, and the limitations of the recorded wording. Stage 3B is clearly identified as ongoing and excluded from current results. These are important gains in transparency. [1, §§3.4, 5.6, 8.8, Appendix C]</w:t>
      </w:r>
    </w:p>
    <w:p>
      <w:r>
        <w:t>The corrected 2024 Chinese demographic figure is consistent with the cited official source. The revised local service-design question in §1.4 is also more defensible than a universal explanation of why FRA systems fail. These issues should be regarded as resolved at those locations, subject to the small reference-formatting repair identified below. [1, §§1.3–1.4; 11]</w:t>
      </w:r>
    </w:p>
    <w:p>
      <w:pPr>
        <w:pStyle w:val="Heading1"/>
        <w:pageBreakBefore/>
      </w:pPr>
      <w:r>
        <w:t>4 Stage-3A outcomes: the most consequential empirical issue</w:t>
      </w:r>
    </w:p>
    <w:p>
      <w:pPr>
        <w:pStyle w:val="Heading2"/>
      </w:pPr>
      <w:r>
        <w:t>4.1 The denominator now describes an observed, selected sample</w:t>
      </w:r>
    </w:p>
    <w:p>
      <w:r>
        <w:t>Section 6.4 now states that the 120 analysed cases are people whose returned materials were compiled. The reach of snowball distribution is unknown, and the distribution/return email index is not yet assembled. This is a useful disclosure, but it changes how a reader should understand the headline 93.3% figure. It is conditional on the observed file-returning sample; it does not establish retention among everyone invited, everyone receiving the game or everyone starting it. An unknown invitation denominator may remain unknown. It must not be reconstructed by assumption. [1, §6.4, G.5]</w:t>
      </w:r>
    </w:p>
    <w:p>
      <w:r>
        <w:t>Distinguish recruitment, participation, record return and continued use in one participant-flow account. Report whichever denominators are supported, including incomplete or missing returns where known. Missing exports are not automatically evidence of non-use, while excluding them without explanation can make apparent engagement unrepresentative. The distinction between study follow-up and intervention use is a recognised issue in digital intervention evaluation. [7]</w:t>
      </w:r>
    </w:p>
    <w:p>
      <w:pPr>
        <w:pStyle w:val="Heading2"/>
      </w:pPr>
      <w:r>
        <w:t>4.2 Acknowledging the timing problem does not yet resolve the endpoint</w:t>
      </w:r>
    </w:p>
    <w:p>
      <w:r>
        <w:t>V42 appropriately acknowledges that the aggregate record lacks the earlier checkpoint, inactivity gap and individual dates needed to reconstruct initial dropout followed by return. It also introduces a potentially important unit ambiguity: the prose refers to a “five-session sequence”, whereas the source field is described as “dropped out before completing 5 attempts”. Attempts within one sitting and sessions on separate occasions support different conclusions. The Stage-2 five-attempt rule makes this distinction especially important. [1, §§5.3.2, 5.5, 6.4]</w:t>
      </w:r>
    </w:p>
    <w:p>
      <w:r>
        <w:t>Define attempt, run, session, sequence completion, initial cessation, return and end of follow-up using the rule actually applied to historical records. A logbook schema capable of holding dates does not establish that those dates were recorded. Recover timelines where the original returns permit it. Otherwise present the quantities as compiled classifications of uncertain timing and remove interpretations that require verified longitudinal follow-up. This qualification belongs in the abstract, principal results and figures, not only in a limitation paragraph.</w:t>
      </w:r>
    </w:p>
    <w:p>
      <w:r>
        <w:t>The reported fractions remain arithmetically consistent: 112/120 = 93.3%; 35/41 = 85.4%; 15/23 = 65.2%; and 10/16 = 62.5%. This confirms calculation from the stated counts, not the completeness of ascertainment or what “retention” measures. The non-equivalent cohorts also remain unsuitable for estimating a causal framing effect, a limitation V42 now recognises more clearly. [1, Tables 6.2–6.3, §§6.4–6.8]</w:t>
      </w:r>
    </w:p>
    <w:p>
      <w:pPr>
        <w:pStyle w:val="Heading2"/>
      </w:pPr>
      <w:r>
        <w:t>4.3 The administered response scale remains unresolved</w:t>
      </w:r>
    </w:p>
    <w:p>
      <w:r>
        <w:t>Appendix D still leaves open whether respondents received five-point or seven-point items, while endorsement is defined using responses 4 or 5. Those responses can have different meanings on different scales. The uncertainty therefore affects coordination endorsement, regular-use intention and the interpretation of the 29.3-percentage-point retention–intention difference. The arithmetic of that difference is correct; its measurement foundation remains unsettled. [1, §§6.5, 6.8, Appendix D]</w:t>
      </w:r>
    </w:p>
    <w:p>
      <w:r>
        <w:t>Retrieve the administered form, anchors, language version and coding rule, then derive the counts again. If these cannot be authenticated, withdraw or reduce claims whose coding depends on them. V42 correctly treats the difference as two marginal proportions, rather than a within-person conversion loss; preserve that correction.</w:t>
      </w:r>
    </w:p>
    <w:p>
      <w:pPr>
        <w:pStyle w:val="Heading1"/>
        <w:pageBreakBefore/>
      </w:pPr>
      <w:r>
        <w:t>5 Stage-2 evidence: a better account requiring reconciliation</w:t>
      </w:r>
    </w:p>
    <w:p>
      <w:pPr>
        <w:pStyle w:val="Heading2"/>
      </w:pPr>
      <w:r>
        <w:t>5.1 Complete the satisfaction and symptom distinction</w:t>
      </w:r>
    </w:p>
    <w:p>
      <w:r>
        <w:t>The new explanation is coherent in principle: satisfaction was collected through after-game paper questionnaires, whereas symptom observations were mediated through therapists and compiled by the researcher. Yet §3.4 retains sentences attributing both satisfaction and symptoms from field notes and describing both as non-self-administered, therapist-mediated data. Section 5.5 likewise introduces paper satisfaction and then describes its association as non-instrumented compiled-field evidence. These are direct internal contradictions, not merely differences of emphasis. [1, §§3.4, 5.5, Appendix C]</w:t>
      </w:r>
    </w:p>
    <w:p>
      <w:r>
        <w:t>Create one variable-level source table showing item wording, response anchors, collector, timing, participant coverage, missingness and extraction rule. Distinguish observed symptoms from participant statements relayed by therapists if both occurred. Remove the incompatible inherited sentences, reconcile “self-reported symptom improvement” terminology and check the individual values against the available originals. The new stable participant IDs improve linkage but cannot themselves authenticate the source responses. Unsupported outcomes should be withdrawn or narrowed; therapist observations need not be discarded simply because they are observational.</w:t>
      </w:r>
    </w:p>
    <w:p>
      <w:pPr>
        <w:pStyle w:val="Heading2"/>
      </w:pPr>
      <w:r>
        <w:t>5.2 Use the new interviews for what they can show</w:t>
      </w:r>
    </w:p>
    <w:p>
      <w:r>
        <w:t>Appendix C now reports 30 participants sought, 29 reached, nine accepting and 20 declining; the nine interviewees were the persistent participants. These counts reconcile. The revised account also identifies therapist-conducted interviews during August–September 2025, some later entry of notes and wording rendered by therapists rather than verbatim participant speech. This is useful methodological detail. [1, §5.6, Appendix C]</w:t>
      </w:r>
    </w:p>
    <w:p>
      <w:r>
        <w:t>The interviews illuminate persistence and perceived value within a selected subgroup. They do not reveal the 21 low-engagement participants' reasons for stopping. Comments about other residents are perceptions, not direct evidence of those residents' motives. The four criticisms of childish visuals should be allowed to strengthen the implementation-quality alternative. Retaining a contradictory usefulness response is a positive sign; explain its meaning rather than smoothing it away. Verify the historical forms and anchors before treating the newly tabulated ratings as secure measurement.</w:t>
      </w:r>
    </w:p>
    <w:p>
      <w:pPr>
        <w:pStyle w:val="Heading2"/>
      </w:pPr>
      <w:r>
        <w:t>5.3 Preserve the revised restraint on index change</w:t>
      </w:r>
    </w:p>
    <w:p>
      <w:r>
        <w:t>V42 now distinguishes standard-mode baseline from final game-derived measurement, acknowledges variable exposure and limits favourable movement to the recorded index. Its discussion of Kim et al. no longer treats a related multi-component system as validation of this exact score and protocol. That is a substantive improvement. A shared signal pathway does not establish equivalence of task conditions, but clinical efficacy need not be proved for the thesis's bounded descriptive contribution. [1, §§5.5, 5.9; 6]</w:t>
      </w:r>
    </w:p>
    <w:p>
      <w:r>
        <w:t>The Stage-2 count-based arithmetic remains consistent, including 21/30 low engagement, 0/21 observed return and the satisfaction association reported at approximately p = .013. The claimed new joint count of three among eight single-session participants is not a majority and is compatible with the earlier margins. It must still be traced to participant rows. A paired test cannot remove uncertainty about what two differently obtained index values measure. [1, §5.5, §8.3]</w:t>
      </w:r>
    </w:p>
    <w:p>
      <w:pPr>
        <w:pStyle w:val="Heading2"/>
      </w:pPr>
      <w:r>
        <w:t>5.4 Explain or remove the historical FIAS score construction</w:t>
      </w:r>
    </w:p>
    <w:p>
      <w:r>
        <w:t>Section 5.6 still says the thirteen-item to ten-point rule is specified in Appendix B, although Appendix B defers the item-level codebook and rules. Giving the composite no evidential weight is appropriate, but a numerical distribution used to select cases still needs its actual calculation. Supply the historical descriptive rule or replace score-based grouping with transparent observed behaviours. This does not require a newly validated diagnostic instrument. [1, §5.6, Appendix B]</w:t>
      </w:r>
    </w:p>
    <w:p>
      <w:pPr>
        <w:pStyle w:val="Heading1"/>
        <w:pageBreakBefore/>
      </w:pPr>
      <w:r>
        <w:t>6 Ethics and the documentary basis of the thesis</w:t>
      </w:r>
    </w:p>
    <w:p>
      <w:pPr>
        <w:pStyle w:val="Heading2"/>
      </w:pPr>
      <w:r>
        <w:t>6.1 Read the approval and approved protocol together</w:t>
      </w:r>
    </w:p>
    <w:p>
      <w:r>
        <w:t>V42 now identifies the approval date as 6 August 2026, the Departmental Research Committee acting on behalf of the IRB, the stated coverage period, and the two-part application addressing earlier procedures and remaining activities. It also distinguishes the project-level memo from an itemised consent determination. This is substantially more informative than V40. [1, §3.4]</w:t>
      </w:r>
    </w:p>
    <w:p>
      <w:r>
        <w:t>My updated recommendation is proportionate: inspect the memo together with the approved application, protocol, conditions and relevant correspondence. A separate itemised letter is not automatically necessary if those documents establish the relevant authority. Seek institutional clarification only where the approved record leaves the scope unresolved. Public PolyU guidance places responsibility on researchers to obtain ethical review before a study is permitted; it does not allow an external reader to decide the effect of this particular retrospective record from a coverage period alone. [5]</w:t>
      </w:r>
    </w:p>
    <w:p>
      <w:r>
        <w:t>The matters requiring a documented answer remain concrete. Stage-2 residents were not informed that participation constituted research; only the persistent participants signed retrospectively; those who discontinued did not sign. Establish what the institutional record authorises regarding incomplete disclosure, any waiver or secondary use, debriefing, retrospective consent and use of non-signing participants' data. Check the Stage-1 procedure as well. Reproduce the institutional determination accurately instead of relying on an unqualified compliance statement. This review neither establishes misconduct nor concludes that all such data are unusable. [1, §3.4]</w:t>
      </w:r>
    </w:p>
    <w:p>
      <w:r>
        <w:t>There is a separate Stage-3B scope question. Section 3.4 describes prospective approval of remaining documentary and analytical activities, whereas the new component protocol is dated 8–9 August and field collection followed. Verify whether the approved protocol or an amendment covers that intervention, recruitment and collection. The chronology alone proves neither approval nor non-approval. [1, §8.8, G.0A]</w:t>
      </w:r>
    </w:p>
    <w:p>
      <w:pPr>
        <w:pStyle w:val="Heading2"/>
      </w:pPr>
      <w:r>
        <w:t>6.2 Convert the stated archive into an inspectable evidence chain</w:t>
      </w:r>
    </w:p>
    <w:p>
      <w:r>
        <w:t>Section 8.9's deposited/pending distinction is a major improvement. Appendix G nevertheless retains a blanket statement that each item is deposited, while G.0 is an author-input placeholder and several entries name files without a settled access or status record. Align these passages. A filename, later reconciliation workbook or author-sighted form is not equivalent to an examiner having access to the underlying source. [1, §8.9, G.0–G.7]</w:t>
      </w:r>
    </w:p>
    <w:p>
      <w:r>
        <w:t>An adequate package should link a small de-identified sample from original record to analysis row to published result, accompanied by available derivation scripts, version identifiers, restrictions and access arrangements. Give each item a truthful status: available, restricted but accessible, pending, or not retained. Where primary records cannot be recovered, identify precisely which claims remain supported. Do not retrospectively manufacture timestamps, consent records or instrument precision.</w:t>
      </w:r>
    </w:p>
    <w:p>
      <w:r>
        <w:t>For Stage 1, the age and denominator logic has been corrected. What remains is the exact numerator/denominator behind the conditional percentages and the status of the response file or contemporaneous aggregate summaries. Rounded percentages should not be converted into invented exact counts. If only aggregate summaries survive, present them explicitly at that level. [1, §4.2, Table 4.1, G.1]</w:t>
      </w:r>
    </w:p>
    <w:p>
      <w:r>
        <w:t>The identifiable development demonstrator raises a narrower production issue. G.10 still lists reproduction consent as pending. Retain identifiable demonstration imagery only on an appropriate documented basis, or remove or replace it before submission. This is distinct from the equipment-only photograph and the earlier research-participant consent question. [1, Figure 5.1A, §8.9, G.4, G.10]</w:t>
      </w:r>
    </w:p>
    <w:p>
      <w:pPr>
        <w:pStyle w:val="Heading1"/>
        <w:pageBreakBefore/>
      </w:pPr>
      <w:r>
        <w:t>7 Engineering contribution and the ongoing component study</w:t>
      </w:r>
    </w:p>
    <w:p>
      <w:pPr>
        <w:pStyle w:val="Heading2"/>
      </w:pPr>
      <w:r>
        <w:t>7.1 Establish what was actually deployed</w:t>
      </w:r>
    </w:p>
    <w:p>
      <w:r>
        <w:t>Sections 5.3.5 and 8.9 now properly distinguish logging capability from retained evidence. However, operational descriptions of model calls, adaptation, clinical outputs and event logging remain alongside an unfinished historical build matrix. Appendix E still presents the Stage-2 layers as operational. The final account must state which functions ran, which were demonstrated only synthetically, and which were specified for later work. [1, §§5.3–5.3.5, 8.9, Appendices E and G]</w:t>
      </w:r>
    </w:p>
    <w:p>
      <w:r>
        <w:t>A concise version table should cover the 2024 demonstrator, Stage-2 deployment, Stage-3A HTML port, successor screenshots and Stage-3B builds. For each, state date/version, input hardware, controller type, model settings where applicable, logging capability, retained evidence and participant coverage. Authentic code, configuration, contemporaneous records or other suitable evidence may substantiate operation even where detailed logs were not retained. The key is to state the basis honestly. A later Stage-3B build cannot authenticate earlier Stage-2 operation.</w:t>
      </w:r>
    </w:p>
    <w:p>
      <w:r>
        <w:t>The strongest engineering defence will identify the candidate's design decisions, constraints, failure analysis and transferable requirements independently of the use of an AI coding tool. The credible-progress specification is especially valuable: performance under changing difficulty or assistance must not be displayed as though it were measured under fixed conditions. The distinction between immediate performance and durable learning also supports the proposed use of comparable reference conditions and later retention or transfer checks. [1, §7.5.2; 8]</w:t>
      </w:r>
    </w:p>
    <w:p>
      <w:pPr>
        <w:pStyle w:val="Heading2"/>
      </w:pPr>
      <w:r>
        <w:t>7.2 Keep Stage 3B prospective and govern its current design</w:t>
      </w:r>
    </w:p>
    <w:p>
      <w:r>
        <w:t>V42 usefully labels this study as prospectively specified, commenced and ongoing, with no results included in the current thesis. Dated repository records can support prospective specification without being described as public preregistration. The study does not manipulate clinical framing, so it cannot directly settle the framing explanation for the completed between-cohort contrast. [1, Table 3.1A, §§8.5.8, 8.8, Table 9.1]</w:t>
      </w:r>
    </w:p>
    <w:p>
      <w:r>
        <w:t>The new G.0A detail makes four prospective questions concrete. First, distribution occurred on 10–12 August, while scoring and export changes were committed on 13 August. Record the exact version and first exposure for each participant; the first returned record is not necessarily the first play. Second, explain whether allocation occurs by participant, device, browser installation or session, how it persists and how duplicate exports are handled. Five distribution files do not establish the unit of randomisation. [1, G.0A]</w:t>
      </w:r>
    </w:p>
    <w:p>
      <w:r>
        <w:t>Third, the static arm suppresses coaching. If the adaptive arm combines difficulty adjustment and coaching, the comparison estimates an adaptive-support package rather than difficulty adjustment alone. Define the intended contrast accordingly. Fourth, records remain in the browser until exported. Preserve the enrolled/randomised denominator and distinguish missing exports from observed inactivity. Establish the applicable approval scope, as discussed above. These are design and governance questions about ongoing work, not allegations of defects in results that have not been reported.</w:t>
      </w:r>
    </w:p>
    <w:p>
      <w:r>
        <w:t>The completed thesis can present a settled account of this ongoing programme at a stated cut-off. Remove open results cells and author-input stubs if the study remains outside its evidence base. Waiting for October does not by itself resolve the evidence issues in completed Stages 1–3A, and new Stage-3B results should not substitute for those records. [1, §§8.8–8.9]</w:t>
      </w:r>
    </w:p>
    <w:p>
      <w:pPr>
        <w:pStyle w:val="Heading1"/>
        <w:pageBreakBefore/>
      </w:pPr>
      <w:r>
        <w:t>8 Originality, theory and use of the literature</w:t>
      </w:r>
    </w:p>
    <w:p>
      <w:pPr>
        <w:pStyle w:val="Heading2"/>
      </w:pPr>
      <w:r>
        <w:t>8.1 Lead with the contextual engineering contribution</w:t>
      </w:r>
    </w:p>
    <w:p>
      <w:r>
        <w:t>The thesis is strongest when it explains what was learned from the local deployment and how that learning changes design practice. The proposed integration of truthful trajectories, calibrated challenge and learning from unsuccessful design has a defensible applied rationale. The negative result is valuable if its circumstances and limits are inspectable; doctoral value does not depend on the intervention having succeeded. [1, §§1.12, 5.5A, 7.5.2, 9.7; 4]</w:t>
      </w:r>
    </w:p>
    <w:p>
      <w:r>
        <w:t>The broad title places a burden on the thesis to explain what “continuous improvement” and “innovation enhancement” mean in the completed work. Separate observed design iteration from proposed improvement in users' capability. A short matrix linking established approaches, this programme's particular engineering addition and its evidence status would strengthen the originality claim. Avoid suggesting that adaptive learning itself was discovered here. Section 7.9's remaining “adaptive-learning discovery” and capability-improvement language conflicts with the more careful abstract and conclusion. [1, §7.9]</w:t>
      </w:r>
    </w:p>
    <w:p>
      <w:pPr>
        <w:pStyle w:val="Heading2"/>
      </w:pPr>
      <w:r>
        <w:t>8.2 Shorten the defence of the three principles</w:t>
      </w:r>
    </w:p>
    <w:p>
      <w:r>
        <w:t>V42 now acknowledges that Stage 3 changed several components and that non-redundancy belongs to a selected decomposition. This resolves much of the earlier causal overstatement. Residual assertions that more than three principles would merely duplicate an existing lever still overdefend the taxonomy. Social support, for example, can change opportunity, practical assistance, enjoyment and appraisal simultaneously. Present the principles as an economical, testable design organisation rather than an exhaustive structure proved by these observations. [1, §7.4, Table 7.1]</w:t>
      </w:r>
    </w:p>
    <w:p>
      <w:r>
        <w:t>FIAS remains a candidate interpretation, not a validated psychological entity. The revised account appropriately keeps ordinary dissatisfaction, burden and context alive. However, acknowledging benefit while stopping remains compatible with these explanations; it does not by itself weigh against them. State the observations that would distinguish these accounts prospectively. Likewise, replace isolated claims that coins sustained play or that visible dropout caused further abandonment with observed co-occurrence or explicitly identified interpretation. [1, Table 5.3, §§5.6, 8.5.9]</w:t>
      </w:r>
    </w:p>
    <w:p>
      <w:pPr>
        <w:pStyle w:val="Heading2"/>
      </w:pPr>
      <w:r>
        <w:t>8.3 Correct the newly expanded GrandPad comparison</w:t>
      </w:r>
    </w:p>
    <w:p>
      <w:r>
        <w:t>The acknowledgement of connected monitoring and the intended-target label in Figure 8.1 are real improvements. The revised text nevertheless characterises the cited engagement studies as consumer-style, explicitly non-assessment deployments with no verdict reaching users. Tha et al. describe clinical implementations in home primary/palliative care and a dementia clinic; Perissinotto et al. concern telemedicine. These sources do not establish a controlled condition in which adverse feedback never reaches the user. Absence of reported verdict exposure is not evidence of its absence. [1, §7.9, Figure 8.1; 9–10]</w:t>
      </w:r>
    </w:p>
    <w:p>
      <w:r>
        <w:t>A defensible comparison is narrower: these sources illustrate supported telehealth, but do not directly estimate voluntary return after adverse FRA feedback under conditions comparable to this thesis. Mark verdict exposure as unknown or not reported where appropriate. This preserves the research question without claiming that existing products occupy a verified non-assessment category. Also qualify unsupported claims that convenience necessarily limits mastery or that AI makes the proposed solution inexpensive at scale. Neither claim is needed to establish the contribution.</w:t>
      </w:r>
    </w:p>
    <w:p>
      <w:r>
        <w:t>The literature review is therefore closer to an acceptable basis for a bounded engineering thesis. Its remaining task is selective correction and synthesis, rather than expansion through more citations or a broader theory claim.</w:t>
      </w:r>
    </w:p>
    <w:p>
      <w:pPr>
        <w:pStyle w:val="Heading1"/>
        <w:pageBreakBefore/>
      </w:pPr>
      <w:r>
        <w:t>9 Figures, consistency and submission readiness</w:t>
      </w:r>
    </w:p>
    <w:p>
      <w:r>
        <w:t>Two figure discrepancies survive from V40. They were checked in the actual V42 artwork and are inherited issues, not newly introduced errors. [1–2]</w:t>
      </w:r>
    </w:p>
    <w:p>
      <w:r>
        <w:rPr>
          <w:b/>
        </w:rPr>
        <w:t>Figure 5.5:</w:t>
      </w:r>
      <w:r>
        <w:t xml:space="preserve"> the image prints re-engagement as 0/30 and draws that branch from the sustained group. The caption and Table 5.2 correctly describe 0/21 among low-engagement participants. Draw the branch from that group and use the appropriate denominator and eight-week observation window. Replace “3 improved &amp; still never returned” with language limited to recorded index increase and no return observed within the window; check the F4 subgroup membership against its actual derivation.</w:t>
      </w:r>
    </w:p>
    <w:p>
      <w:r>
        <w:rPr>
          <w:b/>
        </w:rPr>
        <w:t>Figure 5.4:</w:t>
      </w:r>
      <w:r>
        <w:t xml:space="preserve"> the low-engagement means printed in the image are 44.7 → 47.5; the caption states 44.8 → 47.6. The sustained values agree. Regenerate image and caption from one checked calculation; the supplied manuscript does not establish which low-engagement pair is correct.</w:t>
      </w:r>
    </w:p>
    <w:p>
      <w:r>
        <w:t>Figure 5.1B should identify its images as successor-build illustrations from the start of the caption. Figure 5.2's 80%/40% “flow band” should be labelled as controller thresholds, since flow was not measured; clarify whether its arrows show layer organisation or data movement. Figure 8.1's intended-target correction should be retained. [1, §5.3, Figures 5.1B, 5.2 and 8.1]</w:t>
      </w:r>
    </w:p>
    <w:p>
      <w:r>
        <w:t>The reference list needs a focused production pass: separate the fused Nasreddine/National Bureau of Statistics entry, use final publication details for Tha et al. consistently or identify the advance-online year explicitly, and provide retrievable vendor-source links. Repair the “while Whether” sentence in §2.3.5. Remove resolved comments, highlights, author-input stubs and the completion checklist only after their substantive content is settled, then regenerate the contents and figure/table lists. The checklist's statement that the revision cycle is complete is not consistent with its own pending items. [1, References, Appendices G–H and author checklist; 9, 11]</w:t>
      </w:r>
    </w:p>
    <w:p>
      <w:pPr>
        <w:pStyle w:val="Heading1"/>
      </w:pPr>
      <w:r>
        <w:t>10 Priorities before final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1"/>
        <w:gridCol w:w="3816"/>
        <w:gridCol w:w="4910"/>
      </w:tblGrid>
      <w:tr>
        <w:trPr>
          <w:cantSplit/>
          <w:tblHeader/>
        </w:trPr>
        <w:tc>
          <w:tcPr>
            <w:tcW w:type="dxa" w:w="821"/>
            <w:vAlign w:val="center"/>
            <w:tcMar>
              <w:top w:w="75" w:type="dxa"/>
              <w:bottom w:w="75" w:type="dxa"/>
              <w:left w:w="90" w:type="dxa"/>
              <w:right w:w="90" w:type="dxa"/>
            </w:tcMar>
            <w:shd w:fill="E5E8EB"/>
          </w:tcPr>
          <w:p>
            <w:pPr>
              <w:spacing w:after="0" w:line="240" w:lineRule="auto"/>
              <w:jc w:val="center"/>
            </w:pPr>
            <w:r>
              <w:rPr>
                <w:b/>
                <w:sz w:val="20"/>
              </w:rPr>
              <w:t>Order</w:t>
            </w:r>
          </w:p>
        </w:tc>
        <w:tc>
          <w:tcPr>
            <w:tcW w:type="dxa" w:w="3816"/>
            <w:vAlign w:val="center"/>
            <w:tcMar>
              <w:top w:w="75" w:type="dxa"/>
              <w:bottom w:w="75" w:type="dxa"/>
              <w:left w:w="90" w:type="dxa"/>
              <w:right w:w="90" w:type="dxa"/>
            </w:tcMar>
            <w:shd w:fill="E5E8EB"/>
          </w:tcPr>
          <w:p>
            <w:pPr>
              <w:spacing w:after="0" w:line="240" w:lineRule="auto"/>
            </w:pPr>
            <w:r>
              <w:rPr>
                <w:b/>
                <w:sz w:val="20"/>
              </w:rPr>
              <w:t>Required action</w:t>
            </w:r>
          </w:p>
        </w:tc>
        <w:tc>
          <w:tcPr>
            <w:tcW w:type="dxa" w:w="4910"/>
            <w:vAlign w:val="center"/>
            <w:tcMar>
              <w:top w:w="75" w:type="dxa"/>
              <w:bottom w:w="75" w:type="dxa"/>
              <w:left w:w="90" w:type="dxa"/>
              <w:right w:w="90" w:type="dxa"/>
            </w:tcMar>
            <w:shd w:fill="E5E8EB"/>
          </w:tcPr>
          <w:p>
            <w:pPr>
              <w:spacing w:after="0" w:line="240" w:lineRule="auto"/>
            </w:pPr>
            <w:r>
              <w:rPr>
                <w:b/>
                <w:sz w:val="20"/>
              </w:rPr>
              <w:t>Evidence of completion</w:t>
            </w:r>
          </w:p>
        </w:tc>
      </w:tr>
      <w:tr>
        <w:trPr>
          <w:cantSplit/>
        </w:trPr>
        <w:tc>
          <w:tcPr>
            <w:tcW w:type="dxa" w:w="821"/>
            <w:vAlign w:val="center"/>
            <w:tcMar>
              <w:top w:w="75" w:type="dxa"/>
              <w:bottom w:w="75" w:type="dxa"/>
              <w:left w:w="90" w:type="dxa"/>
              <w:right w:w="90" w:type="dxa"/>
            </w:tcMar>
          </w:tcPr>
          <w:p>
            <w:pPr>
              <w:spacing w:after="0" w:line="240" w:lineRule="auto"/>
              <w:jc w:val="center"/>
            </w:pPr>
            <w:r>
              <w:rPr>
                <w:b w:val="0"/>
                <w:sz w:val="20"/>
              </w:rPr>
              <w:t>1</w:t>
            </w:r>
          </w:p>
        </w:tc>
        <w:tc>
          <w:tcPr>
            <w:tcW w:type="dxa" w:w="3816"/>
            <w:vAlign w:val="center"/>
            <w:tcMar>
              <w:top w:w="75" w:type="dxa"/>
              <w:bottom w:w="75" w:type="dxa"/>
              <w:left w:w="90" w:type="dxa"/>
              <w:right w:w="90" w:type="dxa"/>
            </w:tcMar>
          </w:tcPr>
          <w:p>
            <w:pPr>
              <w:spacing w:after="0" w:line="240" w:lineRule="auto"/>
            </w:pPr>
            <w:r>
              <w:rPr>
                <w:b w:val="0"/>
                <w:sz w:val="20"/>
              </w:rPr>
              <w:t>Establish approved scope and permitted use of participant records.</w:t>
            </w:r>
          </w:p>
        </w:tc>
        <w:tc>
          <w:tcPr>
            <w:tcW w:type="dxa" w:w="4910"/>
            <w:vAlign w:val="center"/>
            <w:tcMar>
              <w:top w:w="75" w:type="dxa"/>
              <w:bottom w:w="75" w:type="dxa"/>
              <w:left w:w="90" w:type="dxa"/>
              <w:right w:w="90" w:type="dxa"/>
            </w:tcMar>
          </w:tcPr>
          <w:p>
            <w:pPr>
              <w:spacing w:after="0" w:line="240" w:lineRule="auto"/>
            </w:pPr>
            <w:r>
              <w:rPr>
                <w:b w:val="0"/>
                <w:sz w:val="20"/>
              </w:rPr>
              <w:t>Memo, approved protocol and conditions aligned with the procedures; clarification where needed.</w:t>
            </w:r>
          </w:p>
        </w:tc>
      </w:tr>
      <w:tr>
        <w:trPr>
          <w:cantSplit/>
        </w:trPr>
        <w:tc>
          <w:tcPr>
            <w:tcW w:type="dxa" w:w="821"/>
            <w:vAlign w:val="center"/>
            <w:tcMar>
              <w:top w:w="75" w:type="dxa"/>
              <w:bottom w:w="75" w:type="dxa"/>
              <w:left w:w="90" w:type="dxa"/>
              <w:right w:w="90" w:type="dxa"/>
            </w:tcMar>
          </w:tcPr>
          <w:p>
            <w:pPr>
              <w:spacing w:after="0" w:line="240" w:lineRule="auto"/>
              <w:jc w:val="center"/>
            </w:pPr>
            <w:r>
              <w:rPr>
                <w:b w:val="0"/>
                <w:sz w:val="20"/>
              </w:rPr>
              <w:t>2</w:t>
            </w:r>
          </w:p>
        </w:tc>
        <w:tc>
          <w:tcPr>
            <w:tcW w:type="dxa" w:w="3816"/>
            <w:vAlign w:val="center"/>
            <w:tcMar>
              <w:top w:w="75" w:type="dxa"/>
              <w:bottom w:w="75" w:type="dxa"/>
              <w:left w:w="90" w:type="dxa"/>
              <w:right w:w="90" w:type="dxa"/>
            </w:tcMar>
          </w:tcPr>
          <w:p>
            <w:pPr>
              <w:spacing w:after="0" w:line="240" w:lineRule="auto"/>
            </w:pPr>
            <w:r>
              <w:rPr>
                <w:b w:val="0"/>
                <w:sz w:val="20"/>
              </w:rPr>
              <w:t>Settle Stage-3A units, timelines, sample labels and administered scale.</w:t>
            </w:r>
          </w:p>
        </w:tc>
        <w:tc>
          <w:tcPr>
            <w:tcW w:type="dxa" w:w="4910"/>
            <w:vAlign w:val="center"/>
            <w:tcMar>
              <w:top w:w="75" w:type="dxa"/>
              <w:bottom w:w="75" w:type="dxa"/>
              <w:left w:w="90" w:type="dxa"/>
              <w:right w:w="90" w:type="dxa"/>
            </w:tcMar>
          </w:tcPr>
          <w:p>
            <w:pPr>
              <w:spacing w:after="0" w:line="240" w:lineRule="auto"/>
            </w:pPr>
            <w:r>
              <w:rPr>
                <w:b w:val="0"/>
                <w:sz w:val="20"/>
              </w:rPr>
              <w:t>Traceable definitions and forms; corrected counts or appropriately reduced claims.</w:t>
            </w:r>
          </w:p>
        </w:tc>
      </w:tr>
      <w:tr>
        <w:trPr>
          <w:cantSplit/>
        </w:trPr>
        <w:tc>
          <w:tcPr>
            <w:tcW w:type="dxa" w:w="821"/>
            <w:vAlign w:val="center"/>
            <w:tcMar>
              <w:top w:w="75" w:type="dxa"/>
              <w:bottom w:w="75" w:type="dxa"/>
              <w:left w:w="90" w:type="dxa"/>
              <w:right w:w="90" w:type="dxa"/>
            </w:tcMar>
          </w:tcPr>
          <w:p>
            <w:pPr>
              <w:spacing w:after="0" w:line="240" w:lineRule="auto"/>
              <w:jc w:val="center"/>
            </w:pPr>
            <w:r>
              <w:rPr>
                <w:b w:val="0"/>
                <w:sz w:val="20"/>
              </w:rPr>
              <w:t>3</w:t>
            </w:r>
          </w:p>
        </w:tc>
        <w:tc>
          <w:tcPr>
            <w:tcW w:type="dxa" w:w="3816"/>
            <w:vAlign w:val="center"/>
            <w:tcMar>
              <w:top w:w="75" w:type="dxa"/>
              <w:bottom w:w="75" w:type="dxa"/>
              <w:left w:w="90" w:type="dxa"/>
              <w:right w:w="90" w:type="dxa"/>
            </w:tcMar>
          </w:tcPr>
          <w:p>
            <w:pPr>
              <w:spacing w:after="0" w:line="240" w:lineRule="auto"/>
            </w:pPr>
            <w:r>
              <w:rPr>
                <w:b w:val="0"/>
                <w:sz w:val="20"/>
              </w:rPr>
              <w:t>Reconcile Stage-2 variable provenance and case construction.</w:t>
            </w:r>
          </w:p>
        </w:tc>
        <w:tc>
          <w:tcPr>
            <w:tcW w:type="dxa" w:w="4910"/>
            <w:vAlign w:val="center"/>
            <w:tcMar>
              <w:top w:w="75" w:type="dxa"/>
              <w:bottom w:w="75" w:type="dxa"/>
              <w:left w:w="90" w:type="dxa"/>
              <w:right w:w="90" w:type="dxa"/>
            </w:tcMar>
          </w:tcPr>
          <w:p>
            <w:pPr>
              <w:spacing w:after="0" w:line="240" w:lineRule="auto"/>
            </w:pPr>
            <w:r>
              <w:rPr>
                <w:b w:val="0"/>
                <w:sz w:val="20"/>
              </w:rPr>
              <w:t>Source table, available originals, participant linkage and a supported FIAS rule or transparent replacement.</w:t>
            </w:r>
          </w:p>
        </w:tc>
      </w:tr>
      <w:tr>
        <w:trPr>
          <w:cantSplit/>
        </w:trPr>
        <w:tc>
          <w:tcPr>
            <w:tcW w:type="dxa" w:w="821"/>
            <w:vAlign w:val="center"/>
            <w:tcMar>
              <w:top w:w="75" w:type="dxa"/>
              <w:bottom w:w="75" w:type="dxa"/>
              <w:left w:w="90" w:type="dxa"/>
              <w:right w:w="90" w:type="dxa"/>
            </w:tcMar>
          </w:tcPr>
          <w:p>
            <w:pPr>
              <w:spacing w:after="0" w:line="240" w:lineRule="auto"/>
              <w:jc w:val="center"/>
            </w:pPr>
            <w:r>
              <w:rPr>
                <w:b w:val="0"/>
                <w:sz w:val="20"/>
              </w:rPr>
              <w:t>4</w:t>
            </w:r>
          </w:p>
        </w:tc>
        <w:tc>
          <w:tcPr>
            <w:tcW w:type="dxa" w:w="3816"/>
            <w:vAlign w:val="center"/>
            <w:tcMar>
              <w:top w:w="75" w:type="dxa"/>
              <w:bottom w:w="75" w:type="dxa"/>
              <w:left w:w="90" w:type="dxa"/>
              <w:right w:w="90" w:type="dxa"/>
            </w:tcMar>
          </w:tcPr>
          <w:p>
            <w:pPr>
              <w:spacing w:after="0" w:line="240" w:lineRule="auto"/>
            </w:pPr>
            <w:r>
              <w:rPr>
                <w:b w:val="0"/>
                <w:sz w:val="20"/>
              </w:rPr>
              <w:t>Complete historical source and build records.</w:t>
            </w:r>
          </w:p>
        </w:tc>
        <w:tc>
          <w:tcPr>
            <w:tcW w:type="dxa" w:w="4910"/>
            <w:vAlign w:val="center"/>
            <w:tcMar>
              <w:top w:w="75" w:type="dxa"/>
              <w:bottom w:w="75" w:type="dxa"/>
              <w:left w:w="90" w:type="dxa"/>
              <w:right w:w="90" w:type="dxa"/>
            </w:tcMar>
          </w:tcPr>
          <w:p>
            <w:pPr>
              <w:spacing w:after="0" w:line="240" w:lineRule="auto"/>
            </w:pPr>
            <w:r>
              <w:rPr>
                <w:b w:val="0"/>
                <w:sz w:val="20"/>
              </w:rPr>
              <w:t>Examiner-accessible manifest; available derivations; honest non-retention statements.</w:t>
            </w:r>
          </w:p>
        </w:tc>
      </w:tr>
      <w:tr>
        <w:trPr>
          <w:cantSplit/>
        </w:trPr>
        <w:tc>
          <w:tcPr>
            <w:tcW w:type="dxa" w:w="821"/>
            <w:vAlign w:val="center"/>
            <w:tcMar>
              <w:top w:w="75" w:type="dxa"/>
              <w:bottom w:w="75" w:type="dxa"/>
              <w:left w:w="90" w:type="dxa"/>
              <w:right w:w="90" w:type="dxa"/>
            </w:tcMar>
          </w:tcPr>
          <w:p>
            <w:pPr>
              <w:spacing w:after="0" w:line="240" w:lineRule="auto"/>
              <w:jc w:val="center"/>
            </w:pPr>
            <w:r>
              <w:rPr>
                <w:b w:val="0"/>
                <w:sz w:val="20"/>
              </w:rPr>
              <w:t>5</w:t>
            </w:r>
          </w:p>
        </w:tc>
        <w:tc>
          <w:tcPr>
            <w:tcW w:type="dxa" w:w="3816"/>
            <w:vAlign w:val="center"/>
            <w:tcMar>
              <w:top w:w="75" w:type="dxa"/>
              <w:bottom w:w="75" w:type="dxa"/>
              <w:left w:w="90" w:type="dxa"/>
              <w:right w:w="90" w:type="dxa"/>
            </w:tcMar>
          </w:tcPr>
          <w:p>
            <w:pPr>
              <w:spacing w:after="0" w:line="240" w:lineRule="auto"/>
            </w:pPr>
            <w:r>
              <w:rPr>
                <w:b w:val="0"/>
                <w:sz w:val="20"/>
              </w:rPr>
              <w:t>Harmonise interpretation, figures and final presentation.</w:t>
            </w:r>
          </w:p>
        </w:tc>
        <w:tc>
          <w:tcPr>
            <w:tcW w:type="dxa" w:w="4910"/>
            <w:vAlign w:val="center"/>
            <w:tcMar>
              <w:top w:w="75" w:type="dxa"/>
              <w:bottom w:w="75" w:type="dxa"/>
              <w:left w:w="90" w:type="dxa"/>
              <w:right w:w="90" w:type="dxa"/>
            </w:tcMar>
          </w:tcPr>
          <w:p>
            <w:pPr>
              <w:spacing w:after="0" w:line="240" w:lineRule="auto"/>
            </w:pPr>
            <w:r>
              <w:rPr>
                <w:b w:val="0"/>
                <w:sz w:val="20"/>
              </w:rPr>
              <w:t>One consistent account across abstract, chapters, captions, appendices and conclusion.</w:t>
            </w:r>
          </w:p>
        </w:tc>
      </w:tr>
    </w:tbl>
    <w:p>
      <w:pPr>
        <w:spacing w:after="0"/>
      </w:pPr>
    </w:p>
    <w:p>
      <w:r>
        <w:t>These priorities form a finite revision programme. If the records support the reported account, most remaining changes should be focused. If they alter the eligible sample, instrument coding or temporal outcomes, targeted reanalysis and reassessment of the contribution will be necessary. A response document should distinguish a corrected sentence, a verified source and a withdrawn claim; they are different forms of closure.</w:t>
      </w:r>
    </w:p>
    <w:p>
      <w:pPr>
        <w:pStyle w:val="Heading1"/>
        <w:pageBreakBefore/>
      </w:pPr>
      <w:r>
        <w:t>11 Questions I would raise in the oral examination</w:t>
      </w:r>
    </w:p>
    <w:p>
      <w:pPr>
        <w:ind w:left="288" w:hanging="288"/>
      </w:pPr>
      <w:r>
        <w:t>1. What original and transferable engineering knowledge remains if clinical framing does not explain the Stage-2/Stage-3A contrast? Identify the contribution that survives that alternative.</w:t>
      </w:r>
    </w:p>
    <w:p>
      <w:pPr>
        <w:ind w:left="288" w:hanging="288"/>
      </w:pPr>
      <w:r>
        <w:t>2. Of whom is 93.3% a proportion: invited people, starters or people returning analysable records? Which of these populations can you reconstruct, and how does that affect the conclusion?</w:t>
      </w:r>
    </w:p>
    <w:p>
      <w:pPr>
        <w:ind w:left="288" w:hanging="288"/>
      </w:pPr>
      <w:r>
        <w:t>3. Does the Stage-3A source field describe five attempts within one session or five separate sessions? What recorded event and checkpoint distinguish cessation followed by return from ordinary interrupted play?</w:t>
      </w:r>
    </w:p>
    <w:p>
      <w:pPr>
        <w:ind w:left="288" w:hanging="288"/>
      </w:pPr>
      <w:r>
        <w:t>4. Which response scale and language version were actually administered for intention and coordination endorsement? Show how the original responses become the published counts.</w:t>
      </w:r>
    </w:p>
    <w:p>
      <w:pPr>
        <w:ind w:left="288" w:hanging="288"/>
      </w:pPr>
      <w:r>
        <w:t>5. Show one satisfaction response and one symptom record through to their dataset variables. What was reported by participants, observed by therapists and inferred during analysis?</w:t>
      </w:r>
    </w:p>
    <w:p>
      <w:pPr>
        <w:ind w:left="288" w:hanging="288"/>
      </w:pPr>
      <w:r>
        <w:t>6. What does the approved institutional record establish about incomplete disclosure and data from non-signing participants? Where does it establish the scope of ongoing Stage 3B?</w:t>
      </w:r>
    </w:p>
    <w:p>
      <w:pPr>
        <w:ind w:left="288" w:hanging="288"/>
      </w:pPr>
      <w:r>
        <w:t>7. Which Stage-2 functions actually operated? Demonstrate the evidence for the controller, measurement path and any model calls without relying on a later successor build.</w:t>
      </w:r>
    </w:p>
    <w:p>
      <w:pPr>
        <w:ind w:left="288" w:hanging="288"/>
      </w:pPr>
      <w:r>
        <w:t>8. What can the nine persistent interviewees tell us, and what remains unknown about people who stopped? How do the comments on childish visuals challenge the preferred account?</w:t>
      </w:r>
    </w:p>
    <w:p>
      <w:pPr>
        <w:ind w:left="288" w:hanging="288"/>
      </w:pPr>
      <w:r>
        <w:t>9. How will you distinguish capability change from easier tasks, additional coaching or changed scoring? What does the Stage-3B adaptive-versus-static contrast actually isolate?</w:t>
      </w:r>
    </w:p>
    <w:p>
      <w:pPr>
        <w:ind w:left="288" w:hanging="288"/>
      </w:pPr>
      <w:r>
        <w:t>10. Which source establishes that GrandPad users were not exposed to adverse assessment feedback? If that exposure is unknown, how should the comparison and originality claim change?</w:t>
      </w:r>
    </w:p>
    <w:p>
      <w:pPr>
        <w:pStyle w:val="Heading1"/>
      </w:pPr>
      <w:r>
        <w:t>12 Final examiner comment</w:t>
      </w:r>
    </w:p>
    <w:p>
      <w:r>
        <w:t>V42 demonstrates better judgement in handling inconvenient evidence. The withdrawal of the unsupported age range, the recognition that H1 was not tested, the reduced clinical interpretation of index gains, and the clearer deposited/pending distinction make this a more credible manuscript than V40. The added interview account and specific ongoing-study record also give an examiner more concrete material to interrogate. [1–3]</w:t>
      </w:r>
    </w:p>
    <w:p>
      <w:r>
        <w:t>The principal concern has shifted from broad overstatement towards a more specific question: can the central observations, instruments and deployed functions be made consistent and inspectable? At present, the thesis's own pending items and remaining contradictions prevent an unqualified answer. In particular, the meaning of Stage-3A retention and the provenance of the administered measures cannot be settled by adding another caveat alone.</w:t>
      </w:r>
    </w:p>
    <w:p>
      <w:r>
        <w:t xml:space="preserve">I would encourage completion of the finite evidence and reconciliation work identified here. If those checks support the bounded account, the thesis has a plausible route to a defensible EngD contribution centred on contextual engineering learning and requirements for redesign. If they do not, the claims must contract to the evidence that remains. </w:t>
      </w:r>
      <w:r>
        <w:rPr>
          <w:b/>
        </w:rPr>
        <w:t>My updated recommendation is therefore more favourable in academic assessment, while remaining substantive revision and documentary verification before acceptance.</w:t>
      </w:r>
    </w:p>
    <w:p>
      <w:pPr>
        <w:pStyle w:val="Heading1"/>
        <w:pageBreakBefore/>
      </w:pPr>
      <w:r>
        <w:t>References and documents examined</w:t>
      </w:r>
    </w:p>
    <w:p>
      <w:pPr>
        <w:spacing w:line="240" w:lineRule="auto" w:after="140"/>
      </w:pPr>
      <w:r>
        <w:rPr>
          <w:sz w:val="20"/>
        </w:rPr>
        <w:t xml:space="preserve">[1] Tam, S. K. T. (2026). </w:t>
      </w:r>
      <w:r>
        <w:rPr>
          <w:b/>
          <w:sz w:val="20"/>
        </w:rPr>
        <w:t>Gamification as Proactive Approach for Continuous Improvement and Innovation Enhancement</w:t>
      </w:r>
      <w:r>
        <w:rPr>
          <w:sz w:val="20"/>
        </w:rPr>
        <w:t xml:space="preserve"> [EngD submission draft, Version 42]. The Hong Kong Polytechnic University. User-supplied file: Full_version_V42_EngD_Thesis_Submission_Draft.docx. Cited by section, table, figure and appendix. Primary object of this review; its external archives were not independently authenticated.</w:t>
      </w:r>
    </w:p>
    <w:p>
      <w:pPr>
        <w:spacing w:line="240" w:lineRule="auto" w:after="140"/>
      </w:pPr>
      <w:r>
        <w:rPr>
          <w:sz w:val="20"/>
        </w:rPr>
        <w:t xml:space="preserve">[2] Tam, S. K. T. (2026). </w:t>
      </w:r>
      <w:r>
        <w:rPr>
          <w:b/>
          <w:sz w:val="20"/>
        </w:rPr>
        <w:t>Gamification as Proactive Approach for Continuous Improvement and Innovation Enhancement</w:t>
      </w:r>
      <w:r>
        <w:rPr>
          <w:sz w:val="20"/>
        </w:rPr>
        <w:t xml:space="preserve"> [EngD submission draft, Version 40]. User-supplied file: Full_version_V40_EngD_Thesis_Submission_Draft_14092026 version.docx. Used for direct comparison.</w:t>
      </w:r>
    </w:p>
    <w:p>
      <w:pPr>
        <w:spacing w:line="240" w:lineRule="auto" w:after="140"/>
      </w:pPr>
      <w:r>
        <w:rPr>
          <w:sz w:val="20"/>
        </w:rPr>
        <w:t xml:space="preserve">[3] Codex. (2026, September 14). </w:t>
      </w:r>
      <w:r>
        <w:rPr>
          <w:b/>
          <w:sz w:val="20"/>
        </w:rPr>
        <w:t>Updated examination report on the EngD thesis Version 40</w:t>
      </w:r>
      <w:r>
        <w:rPr>
          <w:sz w:val="20"/>
        </w:rPr>
        <w:t xml:space="preserve"> [Independent examiner-style project report]. Prior assessment used as the revision baseline; not an official PolyU examination decision.</w:t>
      </w:r>
    </w:p>
    <w:p>
      <w:pPr>
        <w:spacing w:line="240" w:lineRule="auto" w:after="140"/>
      </w:pPr>
      <w:r>
        <w:rPr>
          <w:sz w:val="20"/>
        </w:rPr>
        <w:t xml:space="preserve">[4] The Hong Kong Polytechnic University. (2026). </w:t>
      </w:r>
      <w:r>
        <w:rPr>
          <w:b/>
          <w:sz w:val="20"/>
        </w:rPr>
        <w:t>Engineering Doctorate: Programme 05001-FD-PD, September 2026 entry</w:t>
      </w:r>
      <w:r>
        <w:rPr>
          <w:sz w:val="20"/>
        </w:rPr>
        <w:t xml:space="preserve">. </w:t>
      </w:r>
      <w:hyperlink r:id="rId11">
        <w:r>
          <w:rPr>
            <w:color w:val="174D70"/>
          </w:rPr>
          <w:t>Official programme description</w:t>
        </w:r>
      </w:hyperlink>
      <w:r>
        <w:rPr>
          <w:sz w:val="20"/>
        </w:rPr>
        <w:t>. Accessed 15 September 2026.</w:t>
      </w:r>
    </w:p>
    <w:p>
      <w:pPr>
        <w:spacing w:line="240" w:lineRule="auto" w:after="140"/>
      </w:pPr>
      <w:r>
        <w:rPr>
          <w:sz w:val="20"/>
        </w:rPr>
        <w:t xml:space="preserve">[5] The Hong Kong Polytechnic University, Institutional Review Board. (n.d.). </w:t>
      </w:r>
      <w:r>
        <w:rPr>
          <w:b/>
          <w:sz w:val="20"/>
        </w:rPr>
        <w:t>Guidelines</w:t>
      </w:r>
      <w:r>
        <w:rPr>
          <w:sz w:val="20"/>
        </w:rPr>
        <w:t xml:space="preserve">. </w:t>
      </w:r>
      <w:hyperlink r:id="rId12">
        <w:r>
          <w:rPr>
            <w:color w:val="174D70"/>
          </w:rPr>
          <w:t>Official human-subjects ethics guidance</w:t>
        </w:r>
      </w:hyperlink>
      <w:r>
        <w:rPr>
          <w:sz w:val="20"/>
        </w:rPr>
        <w:t>. Accessed 15 September 2026. General guidance; the candidate's actual decision and approved protocol require separate inspection.</w:t>
      </w:r>
    </w:p>
    <w:p>
      <w:pPr>
        <w:spacing w:line="240" w:lineRule="auto" w:after="140"/>
      </w:pPr>
      <w:r>
        <w:rPr>
          <w:sz w:val="20"/>
        </w:rPr>
        <w:t xml:space="preserve">[6] Kim, M., Kim, S., &amp; Won, C. W. (2018). Test-retest reliability and sensitivity to change of a new fall risk assessment system: A pilot study. </w:t>
      </w:r>
      <w:r>
        <w:rPr>
          <w:b/>
          <w:sz w:val="20"/>
        </w:rPr>
        <w:t>Annals of Geriatric Medicine and Research, 22</w:t>
      </w:r>
      <w:r>
        <w:rPr>
          <w:sz w:val="20"/>
        </w:rPr>
        <w:t xml:space="preserve">(2), 80–87. </w:t>
      </w:r>
      <w:hyperlink r:id="rId13">
        <w:r>
          <w:rPr>
            <w:color w:val="174D70"/>
          </w:rPr>
          <w:t>https://doi.org/10.4235/agmr.2018.22.2.80</w:t>
        </w:r>
      </w:hyperlink>
      <w:r>
        <w:rPr>
          <w:sz w:val="20"/>
        </w:rPr>
        <w:t>.</w:t>
      </w:r>
    </w:p>
    <w:p>
      <w:pPr>
        <w:spacing w:line="240" w:lineRule="auto" w:after="140"/>
      </w:pPr>
      <w:r>
        <w:rPr>
          <w:sz w:val="20"/>
        </w:rPr>
        <w:t xml:space="preserve">[7] Eysenbach, G. (2005). The law of attrition. </w:t>
      </w:r>
      <w:r>
        <w:rPr>
          <w:b/>
          <w:sz w:val="20"/>
        </w:rPr>
        <w:t>Journal of Medical Internet Research, 7</w:t>
      </w:r>
      <w:r>
        <w:rPr>
          <w:sz w:val="20"/>
        </w:rPr>
        <w:t xml:space="preserve">(1), e11. </w:t>
      </w:r>
      <w:hyperlink r:id="rId14">
        <w:r>
          <w:rPr>
            <w:color w:val="174D70"/>
          </w:rPr>
          <w:t>https://doi.org/10.2196/jmir.7.1.e11</w:t>
        </w:r>
      </w:hyperlink>
      <w:r>
        <w:rPr>
          <w:sz w:val="20"/>
        </w:rPr>
        <w:t>.</w:t>
      </w:r>
    </w:p>
    <w:p>
      <w:pPr>
        <w:spacing w:line="240" w:lineRule="auto" w:after="140"/>
      </w:pPr>
      <w:r>
        <w:rPr>
          <w:sz w:val="20"/>
        </w:rPr>
        <w:t xml:space="preserve">[8] Soderstrom, N. C., &amp; Bjork, R. A. (2015). Learning versus performance: An integrative review. </w:t>
      </w:r>
      <w:r>
        <w:rPr>
          <w:b/>
          <w:sz w:val="20"/>
        </w:rPr>
        <w:t>Perspectives on Psychological Science, 10</w:t>
      </w:r>
      <w:r>
        <w:rPr>
          <w:sz w:val="20"/>
        </w:rPr>
        <w:t xml:space="preserve">(2), 176–199. </w:t>
      </w:r>
      <w:hyperlink r:id="rId15">
        <w:r>
          <w:rPr>
            <w:color w:val="174D70"/>
          </w:rPr>
          <w:t>https://doi.org/10.1177/1745691615569000</w:t>
        </w:r>
      </w:hyperlink>
      <w:r>
        <w:rPr>
          <w:sz w:val="20"/>
        </w:rPr>
        <w:t>.</w:t>
      </w:r>
    </w:p>
    <w:p>
      <w:pPr>
        <w:spacing w:line="240" w:lineRule="auto" w:after="140"/>
      </w:pPr>
      <w:r>
        <w:rPr>
          <w:sz w:val="20"/>
        </w:rPr>
        <w:t xml:space="preserve">[9] Tha, S. H., Hough, K., Bui, N., Dulaney, S., &amp; Perissinotto, C. (2026). The use of age-friendly technology in the care of older adults: Two implementation case studies. </w:t>
      </w:r>
      <w:r>
        <w:rPr>
          <w:b/>
          <w:sz w:val="20"/>
        </w:rPr>
        <w:t>Journal of Applied Gerontology, 45</w:t>
      </w:r>
      <w:r>
        <w:rPr>
          <w:sz w:val="20"/>
        </w:rPr>
        <w:t xml:space="preserve">(3), 515–526. Advance online publication in 2025. </w:t>
      </w:r>
      <w:hyperlink r:id="rId16">
        <w:r>
          <w:rPr>
            <w:color w:val="174D70"/>
          </w:rPr>
          <w:t>https://doi.org/10.1177/07334648251343513</w:t>
        </w:r>
      </w:hyperlink>
      <w:r>
        <w:rPr>
          <w:sz w:val="20"/>
        </w:rPr>
        <w:t>.</w:t>
      </w:r>
    </w:p>
    <w:p>
      <w:pPr>
        <w:spacing w:line="240" w:lineRule="auto" w:after="140"/>
      </w:pPr>
      <w:r>
        <w:rPr>
          <w:sz w:val="20"/>
        </w:rPr>
        <w:t xml:space="preserve">[10] Perissinotto, C., Zhang, C., Oseau, T., Balik, D., Sou, C., Burnight, C., &amp; Burnight, K. (2019). Feasibility of a tablet designed for older adults to facilitate telemedicine visits [Conference abstract]. </w:t>
      </w:r>
      <w:r>
        <w:rPr>
          <w:b/>
          <w:sz w:val="20"/>
        </w:rPr>
        <w:t>Innovation in Aging, 3</w:t>
      </w:r>
      <w:r>
        <w:rPr>
          <w:sz w:val="20"/>
        </w:rPr>
        <w:t xml:space="preserve">(Supplement 1), S975. </w:t>
      </w:r>
      <w:hyperlink r:id="rId17">
        <w:r>
          <w:rPr>
            <w:color w:val="174D70"/>
          </w:rPr>
          <w:t>https://doi.org/10.1093/geroni/igz038.3534</w:t>
        </w:r>
      </w:hyperlink>
      <w:r>
        <w:rPr>
          <w:sz w:val="20"/>
        </w:rPr>
        <w:t>.</w:t>
      </w:r>
    </w:p>
    <w:p>
      <w:pPr>
        <w:spacing w:line="240" w:lineRule="auto" w:after="140"/>
      </w:pPr>
      <w:r>
        <w:rPr>
          <w:sz w:val="20"/>
        </w:rPr>
        <w:t xml:space="preserve">[11] National Bureau of Statistics of China. (2025, January 17). </w:t>
      </w:r>
      <w:r>
        <w:rPr>
          <w:b/>
          <w:sz w:val="20"/>
        </w:rPr>
        <w:t>National economy witnessed steady progress amidst stability with major development targets achieved successfully in 2024</w:t>
      </w:r>
      <w:r>
        <w:rPr>
          <w:sz w:val="20"/>
        </w:rPr>
        <w:t xml:space="preserve">. </w:t>
      </w:r>
      <w:hyperlink r:id="rId18">
        <w:r>
          <w:rPr>
            <w:color w:val="174D70"/>
          </w:rPr>
          <w:t>Official statistical release</w:t>
        </w:r>
      </w:hyperlink>
      <w:r>
        <w:rPr>
          <w:sz w:val="20"/>
        </w:rPr>
        <w:t>.</w:t>
      </w:r>
    </w:p>
    <w:p>
      <w:pPr>
        <w:spacing w:line="240" w:lineRule="auto" w:after="140"/>
      </w:pPr>
      <w:r>
        <w:rPr>
          <w:sz w:val="20"/>
        </w:rPr>
        <w:t>Source checking was selective and directed at consequential revised claims; this report does not certify every reference in the thesis. The supplied thesis remains unchanged.</w:t>
      </w:r>
    </w:p>
    <w:sectPr w:rsidR="00FC693F" w:rsidRPr="0006063C" w:rsidSect="00034616">
      <w:headerReference w:type="default" r:id="rId9"/>
      <w:footerReference w:type="default" r:id="rId10"/>
      <w:pgSz w:w="11909" w:h="16834"/>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55555"/>
        <w:sz w:val="16"/>
      </w:rPr>
      <w:t>Sidney K. T. Tam  |  EngD thesis V42  |  Independent examination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outlineLvl w:val="0"/>
    </w:pPr>
    <w:rPr>
      <w:rFonts w:asciiTheme="majorHAnsi" w:eastAsiaTheme="majorEastAsia" w:hAnsiTheme="majorHAnsi" w:cstheme="majorBidi" w:ascii="Cambria" w:hAnsi="Cambria"/>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mbria" w:hAnsi="Cambria"/>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mbria" w:hAnsi="Cambr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Cambria" w:hAnsi="Cambria"/>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olyu.edu.hk/study/pg/tpg/2026/05001-fd-pd" TargetMode="External"/><Relationship Id="rId12" Type="http://schemas.openxmlformats.org/officeDocument/2006/relationships/hyperlink" Target="https://www.polyu.edu.hk/irb/guidelines/?sc_lang=en" TargetMode="External"/><Relationship Id="rId13" Type="http://schemas.openxmlformats.org/officeDocument/2006/relationships/hyperlink" Target="https://doi.org/10.4235/agmr.2018.22.2.80" TargetMode="External"/><Relationship Id="rId14" Type="http://schemas.openxmlformats.org/officeDocument/2006/relationships/hyperlink" Target="https://doi.org/10.2196/jmir.7.1.e11" TargetMode="External"/><Relationship Id="rId15" Type="http://schemas.openxmlformats.org/officeDocument/2006/relationships/hyperlink" Target="https://doi.org/10.1177/1745691615569000" TargetMode="External"/><Relationship Id="rId16" Type="http://schemas.openxmlformats.org/officeDocument/2006/relationships/hyperlink" Target="https://doi.org/10.1177/07334648251343513" TargetMode="External"/><Relationship Id="rId17" Type="http://schemas.openxmlformats.org/officeDocument/2006/relationships/hyperlink" Target="https://doi.org/10.1093/geroni/igz038.3534" TargetMode="External"/><Relationship Id="rId18" Type="http://schemas.openxmlformats.org/officeDocument/2006/relationships/hyperlink" Target="https://www.stats.gov.cn/english/PressRelease/202501/t20250117_19583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examination report on the EngD thesis Version 42</dc:title>
  <dc:subject>Independent assessment of Sidney K. T. Tam thesis dated 15 September 2026</dc:subject>
  <dc:creator>Codex</dc:creator>
  <cp:keywords>EngD; HK PolyU; thesis examination; V42; independent assessment</cp:keywords>
  <dc:description>generated by python-docx</dc:description>
  <cp:lastModifiedBy/>
  <cp:revision>1</cp:revision>
  <dcterms:created xsi:type="dcterms:W3CDTF">2013-12-23T23:15:00Z</dcterms:created>
  <dcterms:modified xsi:type="dcterms:W3CDTF">2013-12-23T23:15:00Z</dcterms:modified>
  <cp:category/>
</cp:coreProperties>
</file>