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asks why older adults abandon clinically valuable health technology, using Fall Risk Assessment (FRA) as the working case, and it is organised around a null hypothesis built honestly from the literature: that a gamified FRA satisfying the acceptance models (TAM, STAM) and the Octalysis motivational framework will be accepted and used, and that adverse first experiences will not produce lasting abandonment (H0, §2.3.5). The programme tests that hypothesis in the field, follows its rejection to a boundary condition for gamification theory, and arrives at a design discovery — adaptive learning — that connects the findings back to the programme topic: continuous improvement operating at the level of the individual user. The behavioural-economic mechanisms proposed along the way — mental accounting of health outcomes, identity-relevant endowment,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200 residents, interviewed from a resident population of 280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Within the archived Stage-2 dataset, twenty-one of thirty participants (70.0%) disengaged at or before three game cycles, eight after a single session, and no re-engagement was observed within the study window. Among the nine sustained participants the recorded FRA index changed by +6.9 points on average (paired dz = 2.22, 95% CI 0.95–3.46); across all thirty participants the paired change was +4.0 points (dz = 0.42, 95% CI 0.05–0.79). Because the archived dataset contains no session timestamps, no time-to-event model is fitted; earlier survival-analysis framings have been withdrawn. A Quality Function Deployment (QFD) pipeline translates the empirical findings into prioritised game-design requirements.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t>Taken together, the three stages support a scope law for gamification theory: the theory holds for older adults — the decoupled Stage-3 game was accepted at the levels the literature predicts, vindicating the acceptance and gamification stack for this population — until the gamified activity is attached to a purpose-based technology whose purpose, such as health assessment, strikes the identity-level value propositions of the user; at that boundary the theory fails, and FIAS names the mechanism of the failure. The between-cohort design supports rather than proves this account, and the 35.6-percentage-point gap between in-session retention (86.7%) and regular-use intention (51.1%) in the 65-80 band shows that decoupling alone is not sufficient: it removes what poisons engagement but supplies no reason to return, and the clinical purpose must eventually return to the experience. The programme's principal design discovery answers that residual problem: adaptive learning — challenge calibrated to the individual and failure reframed as information about a rising personal trajectory — as the behavioural-change driver that can re-attach clinical purpose safely. The Learning-Oriented Design Framework (LODF) is the engineering formalisation of that discovery, comprising identity disentanglement, trajectory installation and adaptive calibration; zero-failure presentation, an observation-driven inversion of Octalysis D8 made practical by AI-assisted development, supports it. The contributions are, in order: FIAS as the problem finding; the coupling boundary condition as the scope finding; adaptive learning as the design discovery, proposed for pre-specified prospective validation; and the methodological architecture (null hypothesis plus attribution stage, dual-purpose mechanic, QFD pipeline, AI-assisted action research) that produced them.</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Figures 5.4 and 6.1 have been regenerated from the archived data and are embedded.]</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35.6-percentage-point difference in the 65-80 band between in-session retention and regular-use intention identifies the practical problem that remained — and it is where the programme found its principal design discovery: adaptive learning, formalised in Chapter 7 as LODF,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Stage 3 confirms, until the gamified activity is attached to a purpose-based technology whose verdicts touch the user's identity-level value propositions. The design discovery is adaptive learning as the behavioural-change driver — continuous improvement at the level of the individual user — with LODF as its engineering formalisation and zero-failure presentation as a supporting element. Methodologically, the thesis contributes the null-hypothesis-plus-attribution architecture (Table 3.1), the dual-purpose mechanic, the QFD evidence-to-design pipeline, a documented AI-assisted development workflow, and the commitment-gap measurement. Empirically, it reports the prospective rejection of H0 in Stage 2 and the theory-rescuing acceptance of the decoupled game in Stage 3, with within-cohort confirmation explicitly retained as future work. Practically, it specifies the adaptive-learning principle and LODF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establishes the coupling boundary condition, and — in the commitment gap — forces the design discovery. Part III claims and bounds it. Chapter 7 formalises adaptive learning as LODF;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LODF,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
              <w:rPr>
                <w:b/>
              </w:rPr>
              <w:t>Observation H0 cannot explain</w:t>
            </w:r>
          </w:p>
        </w:tc>
        <w:tc>
          <w:tcPr>
            <w:tcW w:type="dxa" w:w="2126"/>
          </w:tcPr>
          <w:p>
            <w:r/>
            <w:r>
              <w:rPr>
                <w:b/>
              </w:rPr>
              <w:t>Behavioural theory</w:t>
            </w:r>
          </w:p>
        </w:tc>
        <w:tc>
          <w:tcPr>
            <w:tcW w:type="dxa" w:w="2126"/>
          </w:tcPr>
          <w:p>
            <w:r/>
            <w:r>
              <w:rPr>
                <w:b/>
              </w:rPr>
              <w:t>Construct contributed to FIAS</w:t>
            </w:r>
          </w:p>
        </w:tc>
        <w:tc>
          <w:tcPr>
            <w:tcW w:type="dxa" w:w="2126"/>
          </w:tcPr>
          <w:p>
            <w:r/>
            <w:r>
              <w:rPr>
                <w:b/>
              </w:rPr>
              <w:t>Prediction generated</w:t>
            </w:r>
          </w:p>
        </w:tc>
      </w:tr>
      <w:tr>
        <w:tc>
          <w:tcPr>
            <w:tcW w:type="dxa" w:w="2126"/>
          </w:tcPr>
          <w:p>
            <w:r/>
            <w:r>
              <w:t>A single adverse first experience outweighs the design's motivational pull</w:t>
            </w:r>
          </w:p>
        </w:tc>
        <w:tc>
          <w:tcPr>
            <w:tcW w:type="dxa" w:w="2126"/>
          </w:tcPr>
          <w:p>
            <w:r/>
            <w:r>
              <w:t>Prospect theory / loss aversion (Kahneman &amp; Tversky, 1979)</w:t>
            </w:r>
          </w:p>
        </w:tc>
        <w:tc>
          <w:tcPr>
            <w:tcW w:type="dxa" w:w="2126"/>
          </w:tcPr>
          <w:p>
            <w:r/>
            <w:r>
              <w:t>Asymmetric weighting of an adverse result against a valued reference point</w:t>
            </w:r>
          </w:p>
        </w:tc>
        <w:tc>
          <w:tcPr>
            <w:tcW w:type="dxa" w:w="2126"/>
          </w:tcPr>
          <w:p>
            <w:r/>
            <w:r>
              <w:t>First failure is associated with early disengagement (H1, Chapter 5)</w:t>
            </w:r>
          </w:p>
        </w:tc>
      </w:tr>
      <w:tr>
        <w:tc>
          <w:tcPr>
            <w:tcW w:type="dxa" w:w="2126"/>
          </w:tcPr>
          <w:p>
            <w:r/>
            <w:r>
              <w:t>Exit persists even when the recorded score improves</w:t>
            </w:r>
          </w:p>
        </w:tc>
        <w:tc>
          <w:tcPr>
            <w:tcW w:type="dxa" w:w="2126"/>
          </w:tcPr>
          <w:p>
            <w:r/>
            <w:r>
              <w:t>Endowment effect (Thaler, 1980; Kahneman, Knetsch &amp; Thaler, 1990)</w:t>
            </w:r>
          </w:p>
        </w:tc>
        <w:tc>
          <w:tcPr>
            <w:tcW w:type="dxa" w:w="2126"/>
          </w:tcPr>
          <w:p>
            <w:r/>
            <w:r>
              <w:t>Identity-relevant endowment: exit protects a valued self-description from revaluation</w:t>
            </w:r>
          </w:p>
        </w:tc>
        <w:tc>
          <w:tcPr>
            <w:tcW w:type="dxa" w:w="2126"/>
          </w:tcPr>
          <w:p>
            <w:r/>
            <w:r>
              <w:t>Objective improvement does not by itself produce return (H4 — the improvement/non-return paradox)</w:t>
            </w:r>
          </w:p>
        </w:tc>
      </w:tr>
      <w:tr>
        <w:tc>
          <w:tcPr>
            <w:tcW w:type="dxa" w:w="2126"/>
          </w:tcPr>
          <w:p>
            <w:r/>
            <w:r>
              <w:t>The same event means different things under different frames</w:t>
            </w:r>
          </w:p>
        </w:tc>
        <w:tc>
          <w:tcPr>
            <w:tcW w:type="dxa" w:w="2126"/>
          </w:tcPr>
          <w:p>
            <w:r/>
            <w:r>
              <w:t>Mental accounting (Thaler, 1985)</w:t>
            </w:r>
          </w:p>
        </w:tc>
        <w:tc>
          <w:tcPr>
            <w:tcW w:type="dxa" w:w="2126"/>
          </w:tcPr>
          <w:p>
            <w:r/>
            <w:r>
              <w:t>Clinical framing sorts the session into a high-stakes health account</w:t>
            </w:r>
          </w:p>
        </w:tc>
        <w:tc>
          <w:tcPr>
            <w:tcW w:type="dxa" w:w="2126"/>
          </w:tcPr>
          <w:p>
            <w:r/>
            <w:r>
              <w:t>Removing participant-facing clinical framing increases post-failure return (H5, Stage 3)</w:t>
            </w:r>
          </w:p>
        </w:tc>
      </w:tr>
      <w:tr>
        <w:tc>
          <w:tcPr>
            <w:tcW w:type="dxa" w:w="2126"/>
          </w:tcPr>
          <w:p>
            <w:r/>
            <w:r>
              <w:t>Clinical and age-related cues amplify the meaning of failure</w:t>
            </w:r>
          </w:p>
        </w:tc>
        <w:tc>
          <w:tcPr>
            <w:tcW w:type="dxa" w:w="2126"/>
          </w:tcPr>
          <w:p>
            <w:r/>
            <w:r>
              <w:t>Stereotype threat (Steele &amp; Aronson, 1995; Levy et al., 2002)</w:t>
            </w:r>
          </w:p>
        </w:tc>
        <w:tc>
          <w:tcPr>
            <w:tcW w:type="dxa" w:w="2126"/>
          </w:tcPr>
          <w:p>
            <w:r/>
            <w:r>
              <w:t>Salience of age-related decline as the trigger of identity-relevant appraisal</w:t>
            </w:r>
          </w:p>
        </w:tc>
        <w:tc>
          <w:tcPr>
            <w:tcW w:type="dxa" w:w="2126"/>
          </w:tcPr>
          <w:p>
            <w:r/>
            <w:r>
              <w:t>Threat-reduced framing and coaching improve retry and return (LODF, Chapter 7)</w:t>
            </w:r>
          </w:p>
        </w:tc>
      </w:tr>
      <w:tr>
        <w:tc>
          <w:tcPr>
            <w:tcW w:type="dxa" w:w="2126"/>
          </w:tcPr>
          <w:p>
            <w:r/>
            <w:r>
              <w:t>Abandonment persisted although the Stage-2 build had already softened in-game loss (lives, forgiving hits)</w:t>
            </w:r>
          </w:p>
        </w:tc>
        <w:tc>
          <w:tcPr>
            <w:tcW w:type="dxa" w:w="2126"/>
          </w:tcPr>
          <w:p>
            <w:r/>
            <w:r>
              <w:t>Octalysis D8 inverted: zero-failure design (§2.6.2C, from this research's observations)</w:t>
            </w:r>
          </w:p>
        </w:tc>
        <w:tc>
          <w:tcPr>
            <w:tcW w:type="dxa" w:w="2126"/>
          </w:tcPr>
          <w:p>
            <w:r/>
            <w:r>
              <w:t>The operative loss is identity-level, outside the game's ledger; verdict cues, not in-game losses, carry it</w:t>
            </w:r>
          </w:p>
        </w:tc>
        <w:tc>
          <w:tcPr>
            <w:tcW w:type="dxa" w:w="2126"/>
          </w:tcPr>
          <w:p>
            <w:r/>
            <w:r>
              <w:t>Removing terminal failure verdicts (zero-failure states, §5.3.10) plus decoupling increases retry and return (LODF,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35.6-percentage-point commitment gap remained. Zero-failure design is therefore a moderator within the FIAS account and a testable component of LODF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LODF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LODF, as the design programme. These revisions are changes in working explanation; they are not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w:t>
      </w:r>
      <w:r>
        <w:t xml:space="preserve">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rPr>
              <w:t>Claim</w:t>
            </w:r>
          </w:p>
        </w:tc>
        <w:tc>
          <w:tcPr>
            <w:tcW w:type="dxa" w:w="1701"/>
          </w:tcPr>
          <w:p>
            <w:r/>
            <w:r>
              <w:rPr>
                <w:b/>
              </w:rPr>
              <w:t>Origin</w:t>
            </w:r>
          </w:p>
        </w:tc>
        <w:tc>
          <w:tcPr>
            <w:tcW w:type="dxa" w:w="1701"/>
          </w:tcPr>
          <w:p>
            <w:r/>
            <w:r>
              <w:rPr>
                <w:b/>
              </w:rPr>
              <w:t>Stated</w:t>
            </w:r>
          </w:p>
        </w:tc>
        <w:tc>
          <w:tcPr>
            <w:tcW w:type="dxa" w:w="1701"/>
          </w:tcPr>
          <w:p>
            <w:r/>
            <w:r>
              <w:rPr>
                <w:b/>
              </w:rPr>
              <w:t>Tested / examined</w:t>
            </w:r>
          </w:p>
        </w:tc>
        <w:tc>
          <w:tcPr>
            <w:tcW w:type="dxa" w:w="1701"/>
          </w:tcPr>
          <w:p>
            <w:r/>
            <w:r>
              <w:rPr>
                <w:b/>
              </w:rPr>
              <w:t>Status in this thesis</w:t>
            </w:r>
          </w:p>
        </w:tc>
      </w:tr>
      <w:tr>
        <w:tc>
          <w:tcPr>
            <w:tcW w:type="dxa" w:w="1701"/>
          </w:tcPr>
          <w:p>
            <w:r/>
            <w:r>
              <w:t>H0 — gamified FRA satisfying TAM/STAM + Octalysis sustains elderly acceptance; failure does not produce abandonment</w:t>
            </w:r>
          </w:p>
        </w:tc>
        <w:tc>
          <w:tcPr>
            <w:tcW w:type="dxa" w:w="1701"/>
          </w:tcPr>
          <w:p>
            <w:r/>
            <w:r>
              <w:t>Literature (acceptance + gamification)</w:t>
            </w:r>
          </w:p>
        </w:tc>
        <w:tc>
          <w:tcPr>
            <w:tcW w:type="dxa" w:w="1701"/>
          </w:tcPr>
          <w:p>
            <w:r/>
            <w:r>
              <w:t>§2.3.5; §5.1</w:t>
            </w:r>
          </w:p>
        </w:tc>
        <w:tc>
          <w:tcPr>
            <w:tcW w:type="dxa" w:w="1701"/>
          </w:tcPr>
          <w:p>
            <w:r/>
            <w:r>
              <w:t>Stage 1 retrospectively (Ch 4); Stage 2 prospectively (Ch 5)</w:t>
            </w:r>
          </w:p>
        </w:tc>
        <w:tc>
          <w:tcPr>
            <w:tcW w:type="dxa" w:w="1701"/>
          </w:tcPr>
          <w:p>
            <w:r/>
            <w:r>
              <w:t>Rejected</w:t>
            </w:r>
          </w:p>
        </w:tc>
      </w:tr>
      <w:tr>
        <w:tc>
          <w:tcPr>
            <w:tcW w:type="dxa" w:w="1701"/>
          </w:tcPr>
          <w:p>
            <w:r/>
            <w:r>
              <w:t>H1–H4 — directional hypotheses on first failure, re-engagement, social comparison, and the improvement/non-return paradox</w:t>
            </w:r>
          </w:p>
        </w:tc>
        <w:tc>
          <w:tcPr>
            <w:tcW w:type="dxa" w:w="1701"/>
          </w:tcPr>
          <w:p>
            <w:r/>
            <w:r>
              <w:t>Stage-1 observations</w:t>
            </w:r>
          </w:p>
        </w:tc>
        <w:tc>
          <w:tcPr>
            <w:tcW w:type="dxa" w:w="1701"/>
          </w:tcPr>
          <w:p>
            <w:r/>
            <w:r>
              <w:t>§5.1</w:t>
            </w:r>
          </w:p>
        </w:tc>
        <w:tc>
          <w:tcPr>
            <w:tcW w:type="dxa" w:w="1701"/>
          </w:tcPr>
          <w:p>
            <w:r/>
            <w:r>
              <w:t>Stage 2 (Ch 5)</w:t>
            </w:r>
          </w:p>
        </w:tc>
        <w:tc>
          <w:tcPr>
            <w:tcW w:type="dxa" w:w="1701"/>
          </w:tcPr>
          <w:p>
            <w:r/>
            <w:r>
              <w:t>Directionally supported within a small single-site sample</w:t>
            </w:r>
          </w:p>
        </w:tc>
      </w:tr>
      <w:tr>
        <w:tc>
          <w:tcPr>
            <w:tcW w:type="dxa" w:w="1701"/>
          </w:tcPr>
          <w:p>
            <w:r/>
            <w:r>
              <w:t>H5 and the Stage-3 predictions — decoupling is associated with lower non-return and post-failure return</w:t>
            </w:r>
          </w:p>
        </w:tc>
        <w:tc>
          <w:tcPr>
            <w:tcW w:type="dxa" w:w="1701"/>
          </w:tcPr>
          <w:p>
            <w:r/>
            <w:r>
              <w:t>Stage-2 findings (mental-accounting row of Table 2.1)</w:t>
            </w:r>
          </w:p>
        </w:tc>
        <w:tc>
          <w:tcPr>
            <w:tcW w:type="dxa" w:w="1701"/>
          </w:tcPr>
          <w:p>
            <w:r/>
            <w:r>
              <w:t>§5.1; §6.2</w:t>
            </w:r>
          </w:p>
        </w:tc>
        <w:tc>
          <w:tcPr>
            <w:tcW w:type="dxa" w:w="1701"/>
          </w:tcPr>
          <w:p>
            <w:r/>
            <w:r>
              <w:t>Stage 3 (Ch 6)</w:t>
            </w:r>
          </w:p>
        </w:tc>
        <w:tc>
          <w:tcPr>
            <w:tcW w:type="dxa" w:w="1701"/>
          </w:tcPr>
          <w:p>
            <w:r/>
            <w:r>
              <w:t>Supported as association; attribution bounded by the between-cohort design</w:t>
            </w:r>
          </w:p>
        </w:tc>
      </w:tr>
      <w:tr>
        <w:tc>
          <w:tcPr>
            <w:tcW w:type="dxa" w:w="1701"/>
          </w:tcPr>
          <w:p>
            <w:r/>
            <w:r>
              <w:t>Adaptive-learning proposition — individual-level continuous improvement as the behavioural-change driver that can re-attach clinical purpose</w:t>
            </w:r>
          </w:p>
        </w:tc>
        <w:tc>
          <w:tcPr>
            <w:tcW w:type="dxa" w:w="1701"/>
          </w:tcPr>
          <w:p>
            <w:r/>
            <w:r>
              <w:t>Discovery: forced by the H0 rejection and the Stage-3 commitment gap</w:t>
            </w:r>
          </w:p>
        </w:tc>
        <w:tc>
          <w:tcPr>
            <w:tcW w:type="dxa" w:w="1701"/>
          </w:tcPr>
          <w:p>
            <w:r/>
            <w:r>
              <w:t>§6.8; Ch 7 (LODF)</w:t>
            </w:r>
          </w:p>
        </w:tc>
        <w:tc>
          <w:tcPr>
            <w:tcW w:type="dxa" w:w="1701"/>
          </w:tcPr>
          <w:p>
            <w:r/>
            <w:r>
              <w:t>Not yet tested in isolation</w:t>
            </w:r>
          </w:p>
        </w:tc>
        <w:tc>
          <w:tcPr>
            <w:tcW w:type="dxa" w:w="1701"/>
          </w:tcPr>
          <w:p>
            <w:r/>
            <w:r>
              <w:t>Proposed; isolated evaluation pre-specified in §8.8 and instrumented in §3.6</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t>[AUTHOR: optionally regenerate Figure 3.1 so its stage labels carry the same terms — 'field signal', 'H0 test', 'attribution experiment', 'formalisation' — used in Table 3.1.]</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t>One further methodological boundary is stated here because examiners are entitled to ask it directly: the hypothesis architecture of Table 3.1 distinguishes confirmation from discovery, and the thesis does not blur the two. H0 formalises the expectation that genuinely governed the Stage-2 design at the time it was built — the game was engineered to satisfy the acceptance and gamification criteria precisely because the programme expected them to be sufficient. The directional hypotheses H1–H5 were framed stage by stage as the cycles progressed, in the ordinary manner of action research, and are reported as such rather than as pre-registered tests. The adaptive-learning proposition is explicitly a post-hoc discovery: it was formed after the Stage-3 commitment gap was observed, it is claimed only as a proposition, and its confirmatory test is deferred to the pre-specified study of §8.8. Nothing discovered in the data is presented as if it had been predicted in advance.</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b/>
          <w:highlight w:val="yellow"/>
        </w:rPr>
        <w:t>[AUTHOR INPUT REQUIRED — Table 4.1 verification (denominator resolved: 200 interviewed of 280 residents): confirm the exact wording and denominator behind the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rPr>
              <w:t>User need (voice of the user)</w:t>
            </w:r>
          </w:p>
        </w:tc>
        <w:tc>
          <w:tcPr>
            <w:tcW w:type="dxa" w:w="1215"/>
          </w:tcPr>
          <w:p>
            <w:r/>
            <w:r>
              <w:rPr>
                <w:b/>
              </w:rPr>
              <w:t>Evidence from the data</w:t>
            </w:r>
          </w:p>
        </w:tc>
        <w:tc>
          <w:tcPr>
            <w:tcW w:type="dxa" w:w="1215"/>
          </w:tcPr>
          <w:p>
            <w:r/>
            <w:r>
              <w:rPr>
                <w:b/>
              </w:rPr>
              <w:t>Construct</w:t>
            </w:r>
          </w:p>
        </w:tc>
        <w:tc>
          <w:tcPr>
            <w:tcW w:type="dxa" w:w="1215"/>
          </w:tcPr>
          <w:p>
            <w:r/>
            <w:r>
              <w:rPr>
                <w:b/>
              </w:rPr>
              <w:t>Adaptive difficulty (L2)</w:t>
            </w:r>
          </w:p>
        </w:tc>
        <w:tc>
          <w:tcPr>
            <w:tcW w:type="dxa" w:w="1215"/>
          </w:tcPr>
          <w:p>
            <w:r/>
            <w:r>
              <w:rPr>
                <w:b/>
              </w:rPr>
              <w:t>Loss-free states</w:t>
            </w:r>
          </w:p>
        </w:tc>
        <w:tc>
          <w:tcPr>
            <w:tcW w:type="dxa" w:w="1215"/>
          </w:tcPr>
          <w:p>
            <w:r/>
            <w:r>
              <w:rPr>
                <w:b/>
              </w:rPr>
              <w:t>Trajectory display (L5)</w:t>
            </w:r>
          </w:p>
        </w:tc>
        <w:tc>
          <w:tcPr>
            <w:tcW w:type="dxa" w:w="1215"/>
          </w:tcPr>
          <w:p>
            <w:r/>
            <w:r>
              <w:rPr>
                <w:b/>
              </w:rPr>
              <w:t>Coaching (L6)</w:t>
            </w:r>
          </w:p>
        </w:tc>
      </w:tr>
      <w:tr>
        <w:tc>
          <w:tcPr>
            <w:tcW w:type="dxa" w:w="1215"/>
          </w:tcPr>
          <w:p>
            <w:r/>
            <w:r>
              <w:t>Challenge that matches my ability</w:t>
            </w:r>
          </w:p>
        </w:tc>
        <w:tc>
          <w:tcPr>
            <w:tcW w:type="dxa" w:w="1215"/>
          </w:tcPr>
          <w:p>
            <w:r/>
            <w:r>
              <w:t>70.0% disengaged at ≤3 cycles; satisfaction 9/9 among sustained vs 11/21 (p = .013)</w:t>
            </w:r>
          </w:p>
        </w:tc>
        <w:tc>
          <w:tcPr>
            <w:tcW w:type="dxa" w:w="1215"/>
          </w:tcPr>
          <w:p>
            <w:r/>
            <w:r>
              <w:t>Flow / PEOU (TAM)</w:t>
            </w:r>
          </w:p>
        </w:tc>
        <w:tc>
          <w:tcPr>
            <w:tcW w:type="dxa" w:w="1215"/>
          </w:tcPr>
          <w:p>
            <w:r/>
            <w:r>
              <w:t>●</w:t>
            </w:r>
          </w:p>
        </w:tc>
        <w:tc>
          <w:tcPr>
            <w:tcW w:type="dxa" w:w="1215"/>
          </w:tcPr>
          <w:p>
            <w:r/>
            <w:r>
              <w:t>◐</w:t>
            </w:r>
          </w:p>
        </w:tc>
        <w:tc>
          <w:tcPr>
            <w:tcW w:type="dxa" w:w="1215"/>
          </w:tcPr>
          <w:p>
            <w:r/>
            <w:r/>
          </w:p>
        </w:tc>
        <w:tc>
          <w:tcPr>
            <w:tcW w:type="dxa" w:w="1215"/>
          </w:tcPr>
          <w:p>
            <w:r/>
            <w:r>
              <w:t>◐</w:t>
            </w:r>
          </w:p>
        </w:tc>
      </w:tr>
      <w:tr>
        <w:tc>
          <w:tcPr>
            <w:tcW w:type="dxa" w:w="1215"/>
          </w:tcPr>
          <w:p>
            <w:r/>
            <w:r>
              <w:t>Failure must not feel like a verdict about me</w:t>
            </w:r>
          </w:p>
        </w:tc>
        <w:tc>
          <w:tcPr>
            <w:tcW w:type="dxa" w:w="1215"/>
          </w:tcPr>
          <w:p>
            <w:r/>
            <w:r>
              <w:t>0/21 re-engagement after disengagement; Stage-1: ~74% adverse first experience among prior users</w:t>
            </w:r>
          </w:p>
        </w:tc>
        <w:tc>
          <w:tcPr>
            <w:tcW w:type="dxa" w:w="1215"/>
          </w:tcPr>
          <w:p>
            <w:r/>
            <w:r>
              <w:t>Loss aversion / D8 (Octalysis)</w:t>
            </w:r>
          </w:p>
        </w:tc>
        <w:tc>
          <w:tcPr>
            <w:tcW w:type="dxa" w:w="1215"/>
          </w:tcPr>
          <w:p>
            <w:r/>
            <w:r>
              <w:t>◐</w:t>
            </w:r>
          </w:p>
        </w:tc>
        <w:tc>
          <w:tcPr>
            <w:tcW w:type="dxa" w:w="1215"/>
          </w:tcPr>
          <w:p>
            <w:r/>
            <w:r>
              <w:t>●</w:t>
            </w:r>
          </w:p>
        </w:tc>
        <w:tc>
          <w:tcPr>
            <w:tcW w:type="dxa" w:w="1215"/>
          </w:tcPr>
          <w:p>
            <w:r/>
            <w:r>
              <w:t>◐</w:t>
            </w:r>
          </w:p>
        </w:tc>
        <w:tc>
          <w:tcPr>
            <w:tcW w:type="dxa" w:w="1215"/>
          </w:tcPr>
          <w:p>
            <w:r/>
            <w:r>
              <w:t>●</w:t>
            </w:r>
          </w:p>
        </w:tc>
      </w:tr>
      <w:tr>
        <w:tc>
          <w:tcPr>
            <w:tcW w:type="dxa" w:w="1215"/>
          </w:tcPr>
          <w:p>
            <w:r/>
            <w:r>
              <w:t>Visible personal progress</w:t>
            </w:r>
          </w:p>
        </w:tc>
        <w:tc>
          <w:tcPr>
            <w:tcW w:type="dxa" w:w="1215"/>
          </w:tcPr>
          <w:p>
            <w:r/>
            <w:r>
              <w:t>Recorded index and self-report diverge (5/8 single-session positive change, 2/8 felt improvement)</w:t>
            </w:r>
          </w:p>
        </w:tc>
        <w:tc>
          <w:tcPr>
            <w:tcW w:type="dxa" w:w="1215"/>
          </w:tcPr>
          <w:p>
            <w:r/>
            <w:r>
              <w:t>Competence (SDT) / D2</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Understandable, non-clinical feedback</w:t>
            </w:r>
          </w:p>
        </w:tc>
        <w:tc>
          <w:tcPr>
            <w:tcW w:type="dxa" w:w="1215"/>
          </w:tcPr>
          <w:p>
            <w:r/>
            <w:r>
              <w:t>60.0% self-reported improvement; satisfaction associated with staying</w:t>
            </w:r>
          </w:p>
        </w:tc>
        <w:tc>
          <w:tcPr>
            <w:tcW w:type="dxa" w:w="1215"/>
          </w:tcPr>
          <w:p>
            <w:r/>
            <w:r>
              <w:t>Gerontechnology anxiety (STAM)</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Reward for effort, not only outcome</w:t>
            </w:r>
          </w:p>
        </w:tc>
        <w:tc>
          <w:tcPr>
            <w:tcW w:type="dxa" w:w="1215"/>
          </w:tcPr>
          <w:p>
            <w:r/>
            <w:r>
              <w:t>Coin loop sustained play in completers (≥4 cycles: 9/30)</w:t>
            </w:r>
          </w:p>
        </w:tc>
        <w:tc>
          <w:tcPr>
            <w:tcW w:type="dxa" w:w="1215"/>
          </w:tcPr>
          <w:p>
            <w:r/>
            <w:r>
              <w:t>Learn-to-earn / D4</w:t>
            </w:r>
          </w:p>
        </w:tc>
        <w:tc>
          <w:tcPr>
            <w:tcW w:type="dxa" w:w="1215"/>
          </w:tcPr>
          <w:p>
            <w:r/>
            <w:r>
              <w:t>◐</w:t>
            </w:r>
          </w:p>
        </w:tc>
        <w:tc>
          <w:tcPr>
            <w:tcW w:type="dxa" w:w="1215"/>
          </w:tcPr>
          <w:p>
            <w:r/>
            <w:r/>
          </w:p>
        </w:tc>
        <w:tc>
          <w:tcPr>
            <w:tcW w:type="dxa" w:w="1215"/>
          </w:tcPr>
          <w:p>
            <w:r/>
            <w:r>
              <w:t>◐</w:t>
            </w:r>
          </w:p>
        </w:tc>
        <w:tc>
          <w:tcPr>
            <w:tcW w:type="dxa" w:w="1215"/>
          </w:tcPr>
          <w:p>
            <w:r/>
            <w:r/>
          </w:p>
        </w:tc>
      </w:tr>
      <w:tr>
        <w:tc>
          <w:tcPr>
            <w:tcW w:type="dxa" w:w="1215"/>
          </w:tcPr>
          <w:p>
            <w:r/>
            <w:r>
              <w:t>A reason to come back</w:t>
            </w:r>
          </w:p>
        </w:tc>
        <w:tc>
          <w:tcPr>
            <w:tcW w:type="dxa" w:w="1215"/>
          </w:tcPr>
          <w:p>
            <w:r/>
            <w:r>
              <w:t>No observed return in Stage 2; Stage-3 decoupled cohort returned 15/23</w:t>
            </w:r>
          </w:p>
        </w:tc>
        <w:tc>
          <w:tcPr>
            <w:tcW w:type="dxa" w:w="1215"/>
          </w:tcPr>
          <w:p>
            <w:r/>
            <w:r>
              <w:t>Behavioural intention (TAM/STAM)</w:t>
            </w:r>
          </w:p>
        </w:tc>
        <w:tc>
          <w:tcPr>
            <w:tcW w:type="dxa" w:w="1215"/>
          </w:tcPr>
          <w:p>
            <w:r/>
            <w:r>
              <w:t>◐</w:t>
            </w:r>
          </w:p>
        </w:tc>
        <w:tc>
          <w:tcPr>
            <w:tcW w:type="dxa" w:w="1215"/>
          </w:tcPr>
          <w:p>
            <w:r/>
            <w:r>
              <w:t>●</w:t>
            </w:r>
          </w:p>
        </w:tc>
        <w:tc>
          <w:tcPr>
            <w:tcW w:type="dxa" w:w="1215"/>
          </w:tcPr>
          <w:p>
            <w:r/>
            <w:r>
              <w:t>●</w:t>
            </w:r>
          </w:p>
        </w:tc>
        <w:tc>
          <w:tcPr>
            <w:tcW w:type="dxa" w:w="1215"/>
          </w:tcPr>
          <w:p>
            <w:r/>
            <w: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[AUTHOR INPUT REQUIRED: state the weighting or collapsing rule that maps the thirteen items onto the 0–10 composite].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Stage 2 has important limitations. The sample is small, drawn from one site,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t xml:space="preserve">The Stage-3 participant-level records were lost to a technical error after the aggregate results had been computed and reported. The archived data logbook (Appendix G, item G.3) therefore preserves the published aggregate results and a reconciliation sheet whose live formulas recompute every published indicator from any records re-entered into it. </w:t>
      </w:r>
      <w:r>
        <w:rPr>
          <w:b/>
          <w:highlight w:val="yellow"/>
        </w:rPr>
        <w:t>[AUTHOR INPUT REQUIRED: transcribe surviving primary records — paper questionnaires, clinician-terminal exports, staff session logs — into the logbook; the reconciliation sheet flags any mismatch with the published aggregates. Rows must come only from primary records, not be reconstructed from memory or from the totals. If the participant-level records prove unrecoverable, retain the data-loss statement in §8.9 and present the Chapter 6 results as resting on the published aggregate record.]</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86.7%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published summary only as a total (86 of 120, 71.7%); the per-age-band breakdown was lost with the participant-level records and is shown as not preserved.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and it is stated as an association pending the within-cohort randomised confirmation described below.</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LODF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35.6-percentage-point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motivates this discovery; it does not establish that adaptive learning will close the observed gap, and this chapter maintains that distinction throughout.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LODF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it establishes a boundary condition for gamification theory: the theory holds for older adults, as Stage 3 confirms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LODF, which is the packaging of the discovery rather than a finding in its own right. The thesis does not claim to have verified mental accounting, established an entropy collapse, dissolved the score-improvement/non-return paradox, or tested adaptive learning in isolation.</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Claude Code-assisted development workflow;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LODF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data-loss event is disclosed: the Stage-3 participant-level records were lost to a technical error after the aggregate results were computed and reported. The archived logbook preserves the published aggregates together with a reconciliation harness for any records that can be re-transcribed from surviving primary sources (Appendix G, item G.3); Chapter 6 rests on the published aggregate record unless and until the participant-level records are recovered.</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LODF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LODF packaging. The thesis does not claim empirical verification of mental accounting, irreversible account closure, mutual exclusion between the appraisals, or an isolated adaptive-learning effect.</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w:t>
      </w:r>
      <w:r>
        <w:rPr>
          <w:b/>
          <w:highlight w:val="yellow"/>
        </w:rPr>
        <w:t>[AUTHOR INPUT REQUIRED: session-level telemetry with timestamps and AI-call logs was not part of this archive — attach it if it exists, or state in §8.9 that it was not retained]</w:t>
      </w:r>
    </w:p>
    <w:p>
      <w:r>
        <w:t xml:space="preserve">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participant-level records were lost to a technical error; row-level entries may be added only by transcription from surviving primary records. </w:t>
      </w:r>
      <w:r>
        <w:rPr>
          <w:b/>
          <w:highlight w:val="yellow"/>
        </w:rPr>
        <w:t>[AUTHOR INPUT REQUIRED: transcribe surviving primary records, or confirm the data-loss statement in §8.9 as final]</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