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Sidney K. T. Tam</w:t>
        <w:br/>
        <w:t>Behaviour and Knowledge Engineering Research Centre</w:t>
        <w:br/>
        <w:t>Department of Industrial and Systems Engineering</w:t>
        <w:br/>
        <w:t>The Hong Kong Polytechnic University, Hong Kong, China</w:t>
        <w:br/>
        <w:t>sidney.tam@connect.polyu.hk</w:t>
      </w:r>
    </w:p>
    <w:p>
      <w:r>
        <w:t>September 2026 [date to be set on the day of submission]</w:t>
      </w:r>
    </w:p>
    <w:p>
      <w:r>
        <w:t>The Editor-in-Chief</w:t>
        <w:br/>
        <w:t>JMIR Serious Games</w:t>
      </w:r>
    </w:p>
    <w:p>
      <w:r>
        <w:rPr>
          <w:b/>
        </w:rPr>
        <w:t>Re: Submission — “Decoupling the Clinical Attachment from Gamified Fall Risk Assessment: Between-Cohort Evidence for a Frame-Sensitive Account of Elderly Abandonment”</w:t>
      </w:r>
    </w:p>
    <w:p>
      <w:pPr>
        <w:jc w:val="both"/>
      </w:pPr>
      <w:r>
        <w:t>Dear Editor-in-Chief,</w:t>
      </w:r>
    </w:p>
    <w:p>
      <w:pPr>
        <w:jc w:val="both"/>
      </w:pPr>
      <w:r>
        <w:t>We are pleased to submit the above manuscript to JMIR Serious Games. It reports the evaluation stage of a serious-games research programme: when a gamified, AI-assisted Fall Risk Assessment was abandoned by elderly residents after early failure, two rival readings made opposite predictions — that gamification does not transfer to frail older adults, or that the game's attachment to a clinical verdict carried the failure. This paper reports the deployment that separates them: the same game, ported to an HTML build and offered to a separate cohort of 120 adults aged 25–80 as a purely recreational eye–leg coordination challenge, with the participant-facing clinical attachment removed as a package.</w:t>
      </w:r>
    </w:p>
    <w:p>
      <w:pPr>
        <w:jc w:val="both"/>
      </w:pPr>
      <w:r>
        <w:t>End-of-window retention was 93.3% overall and 85.4% in the 65–80 band, most older initial dropouts returned voluntarily, and initial dropout climbed steeply with age while observed non-return converged to low levels in every band — a pattern consistent with the coupling account within the stated limits of a between-cohort, multi-component design. The paper contributes the decoupling package as a reproducible serious-game design intervention, a candidate boundary condition for gamification theory, and a pre-specified within-cohort randomised study as the confirmatory test.</w:t>
      </w:r>
    </w:p>
    <w:p>
      <w:pPr>
        <w:jc w:val="both"/>
      </w:pPr>
      <w:r>
        <w:t>Declarations. The manuscript is original, has not been published, and is not under consideration elsewhere. A conference paper (Tam &amp; Cheung, ICMSS 2026) reports the programme's Stage-1 review; a companion manuscript, currently under review at another journal, reports the Stage-2 coupled deployment; no results are duplicated. The programme was approved by The Hong Kong Polytechnic University (application HSEARS20260805008; approved 6 August 2026; approval period 16 June 2024 to 30 October 2026; PI Prof. C. F. Cheung). This study used an informed, implied-consent model, stated with its limitation in the Methods. Funding, conflicts, data-availability and AI-use declarations appear in the manuscript's Declarations section. For completeness, we also disclose that an earlier manuscript from this programme (the Stage-2 companion study) was briefly submitted to JMIR Serious Games (ms #111728) and withdrawn by us on 11 September 2026, before initial checks were complete, when we recognised that it was concurrently under consideration at another journal; the withdrawal was made on our own initiative to respect the journals' single-submission policies. The present manuscript reports a different study, shares no results with that manuscript, and is submitted to JMIR Serious Games alone.</w:t>
      </w:r>
    </w:p>
    <w:p>
      <w:pPr>
        <w:jc w:val="both"/>
      </w:pPr>
      <w:r>
        <w:t>Thank you for considering the manuscript.</w:t>
      </w:r>
    </w:p>
    <w:p>
      <w:pPr>
        <w:jc w:val="both"/>
      </w:pPr>
      <w:r>
        <w:t>Yours faithfully,</w:t>
      </w:r>
    </w:p>
    <w:p>
      <w:pPr>
        <w:jc w:val="both"/>
      </w:pPr>
      <w:r>
        <w:t>Sidney K. T. Tam (corresponding author)</w:t>
        <w:br/>
        <w:t>Prof. Chi Fai Cheung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