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an Adaptive-Learning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Older adults abandon clinically valuable health technology at high rates, and the established models do not explain why. This thesis investigates the problem through Fall Risk Assessment (FRA), within the EngD topic Gamification as a Proactive Approach for Continuous Improvement and Innovation Enhancement. From the technology-acceptance and gamification literatures (TAM, STAM, Octalysis) it builds a null hypothesis: a well-designed gamified FRA will be accepted by older users, and adverse first experiences will not produce lasting abandonment. Three field stages test that hypothesis and follow its rejection to the thesis's findings.</w:t>
      </w:r>
    </w:p>
    <w:p w14:paraId="4BEDA2C7" w14:textId="77777777" w:rsidR="0062437E" w:rsidRDefault="00000000">
      <w:pPr>
        <w:jc w:val="both"/>
      </w:pPr>
      <w:r>
        <w:t>Stage 1, a survey of 200 residents interviewed from a population of 280 at a Guangzhou care facility, found the retrospective signal: most prior FRA users reported an adverse first experience and never returned. Stage 2 tested the hypothesis prospectively with thirty residents using an AI-assisted skiing game whose weight-shift control doubles as the clinical measurement. Despite a design satisfying every acceptance and gamification criterion, seventy per cent of participants disengaged at or before three game cycles, none re-engaged, and abandonment persisted even where recorded balance scores improved. Stage 3, the attribution experiment, offered the same game to a separate cohort of 120 Hong Kong adults with the clinical attachment removed: the decoupled game was accepted at the levels the gamification literature predicts — 93.3% retention, and 65.2% of initial dropouts returning voluntarily — acquitting the theory and the population, and convicting the coupling.</w:t>
      </w:r>
    </w:p>
    <w:p w14:paraId="768A95F0" w14:textId="77777777" w:rsidR="0062437E" w:rsidRDefault="00000000">
      <w:pPr>
        <w:jc w:val="both"/>
      </w:pPr>
      <w:r>
        <w:rPr>
          <w:i w:val="0"/>
        </w:rPr>
        <w:t>Three contributions follow. The problem finding is Failure-Induced Abandonment Syndrome (FIAS): a provisional, frame-sensitive behavioural construct structured by loss aversion, identity-relevant endowment, mental accounting and stereotype threat, proposed as candidate mechanisms rather than measured ones. The scope finding is a boundary condition for gamification theory: it holds for older adults until the gamified activity is attached to a purpose-based technology whose verdicts touch the user's identity-level concerns. The design discovery is adaptive learning — challenge calibrated to the individual, and failure reframed as information about a rising personal trajectory — continuous improvement operating at the level of the individual user, advanced as the behavioural-change driver that can safely re-attach clinical purpose and formalised as an engineering design framework for pre-specified prospective validation. The work is offered as exploratory engineering research: its discoveries are stated plainly, and each arrives with the confirmatory study it makes possible.</w:t>
      </w:r>
    </w:p>
    <w:p w14:paraId="3DA71CBC" w14:textId="77777777" w:rsidR="0062437E" w:rsidRDefault="00000000">
      <w:pPr>
        <w:jc w:val="both"/>
      </w:pPr>
      <w:r>
        <w:t>Keywords: gamification; continuous improvement; elderly technology adoption; Fall Risk Assessment; failure-induced abandonment; adaptive learning; behavioural economics; technology acceptance.</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tab/>
        <w:t>iii</w:t>
      </w:r>
    </w:p>
    <w:p w14:paraId="0A998D73" w14:textId="77777777" w:rsidR="00FD5D21" w:rsidRDefault="00FD5D21">
      <w:pPr>
        <w:pStyle w:val="TOC1"/>
        <w:tabs>
          <w:tab w:val="right" w:leader="dot" w:pos="8495"/>
        </w:tabs>
        <w:rPr>
          <w:noProof/>
        </w:rPr>
      </w:pPr>
      <w:r>
        <w:t>Acknowledgements</w:t>
        <w:tab/>
        <w:t>v</w:t>
      </w:r>
    </w:p>
    <w:p w14:paraId="3FD42362" w14:textId="77777777" w:rsidR="00FD5D21" w:rsidRDefault="00FD5D21">
      <w:pPr>
        <w:pStyle w:val="TOC1"/>
        <w:tabs>
          <w:tab w:val="right" w:leader="dot" w:pos="8495"/>
        </w:tabs>
        <w:rPr>
          <w:noProof/>
        </w:rPr>
      </w:pPr>
      <w:r>
        <w:t>Table of Contents</w:t>
        <w:tab/>
        <w:t>vi</w:t>
      </w:r>
    </w:p>
    <w:p w14:paraId="485E3FB1" w14:textId="77777777" w:rsidR="00FD5D21" w:rsidRDefault="00FD5D21">
      <w:pPr>
        <w:pStyle w:val="TOC1"/>
        <w:tabs>
          <w:tab w:val="right" w:leader="dot" w:pos="8495"/>
        </w:tabs>
        <w:rPr>
          <w:noProof/>
        </w:rPr>
      </w:pPr>
      <w:r>
        <w:t>List of Figures</w:t>
        <w:tab/>
        <w:t>xiv</w:t>
      </w:r>
    </w:p>
    <w:p w14:paraId="62BE4204" w14:textId="77777777" w:rsidR="00FD5D21" w:rsidRDefault="00FD5D21">
      <w:pPr>
        <w:pStyle w:val="TOC1"/>
        <w:tabs>
          <w:tab w:val="right" w:leader="dot" w:pos="8495"/>
        </w:tabs>
        <w:rPr>
          <w:noProof/>
        </w:rPr>
      </w:pPr>
      <w:r>
        <w:t>List of Tables</w:t>
        <w:tab/>
        <w:t>xvi</w:t>
      </w:r>
    </w:p>
    <w:p w14:paraId="37F76FB1" w14:textId="77777777" w:rsidR="00FD5D21" w:rsidRDefault="00FD5D21">
      <w:pPr>
        <w:pStyle w:val="TOC1"/>
        <w:tabs>
          <w:tab w:val="right" w:leader="dot" w:pos="8495"/>
        </w:tabs>
        <w:rPr>
          <w:noProof/>
        </w:rPr>
      </w:pPr>
      <w:r>
        <w:t>List of Abbreviations</w:t>
        <w:tab/>
        <w:t>xvii</w:t>
      </w:r>
    </w:p>
    <w:p w14:paraId="2A84A3C8" w14:textId="77777777" w:rsidR="00FD5D21" w:rsidRDefault="00FD5D21">
      <w:pPr>
        <w:pStyle w:val="TOC1"/>
        <w:tabs>
          <w:tab w:val="right" w:leader="dot" w:pos="8495"/>
        </w:tabs>
        <w:rPr>
          <w:noProof/>
        </w:rPr>
      </w:pPr>
      <w:r>
        <w:t>Chapter 1 Introduction</w:t>
        <w:tab/>
        <w:t>1</w:t>
      </w:r>
    </w:p>
    <w:p w14:paraId="3D8BF843" w14:textId="77777777" w:rsidR="00FD5D21" w:rsidRDefault="00FD5D21">
      <w:pPr>
        <w:pStyle w:val="TOC2"/>
        <w:tabs>
          <w:tab w:val="right" w:leader="dot" w:pos="8495"/>
        </w:tabs>
        <w:rPr>
          <w:noProof/>
        </w:rPr>
      </w:pPr>
      <w:r>
        <w:t>1.1 The Point of Departure: An Empty Station in a Busy Hall</w:t>
        <w:tab/>
        <w:t>1</w:t>
      </w:r>
    </w:p>
    <w:p w14:paraId="3DBFFC8E" w14:textId="77777777" w:rsidR="00FD5D21" w:rsidRDefault="00FD5D21">
      <w:pPr>
        <w:pStyle w:val="TOC2"/>
        <w:tabs>
          <w:tab w:val="right" w:leader="dot" w:pos="8495"/>
        </w:tabs>
        <w:rPr>
          <w:noProof/>
        </w:rPr>
      </w:pPr>
      <w:r>
        <w:t>1.2 Why the Empty Station Is an Industry Problem, Not a Local Problem</w:t>
        <w:tab/>
        <w:t>1</w:t>
      </w:r>
    </w:p>
    <w:p w14:paraId="0948A1BD" w14:textId="77777777" w:rsidR="00FD5D21" w:rsidRDefault="00FD5D21">
      <w:pPr>
        <w:pStyle w:val="TOC2"/>
        <w:tabs>
          <w:tab w:val="right" w:leader="dot" w:pos="8495"/>
        </w:tabs>
        <w:rPr>
          <w:noProof/>
        </w:rPr>
      </w:pPr>
      <w:r>
        <w:t>1.3 The Demographic Backdrop</w:t>
        <w:tab/>
        <w:t>2</w:t>
      </w:r>
    </w:p>
    <w:p w14:paraId="42719472" w14:textId="77777777" w:rsidR="00FD5D21" w:rsidRDefault="00FD5D21">
      <w:pPr>
        <w:pStyle w:val="TOC2"/>
        <w:tabs>
          <w:tab w:val="right" w:leader="dot" w:pos="8495"/>
        </w:tabs>
        <w:rPr>
          <w:noProof/>
        </w:rPr>
      </w:pPr>
      <w:r>
        <w:t>1.4 Falls, the Cascade, and the Fall Risk Assessment Technology</w:t>
        <w:tab/>
        <w:t>3</w:t>
      </w:r>
    </w:p>
    <w:p w14:paraId="1A58A984" w14:textId="77777777" w:rsidR="00FD5D21" w:rsidRDefault="00FD5D21">
      <w:pPr>
        <w:pStyle w:val="TOC2"/>
        <w:tabs>
          <w:tab w:val="right" w:leader="dot" w:pos="8495"/>
        </w:tabs>
        <w:rPr>
          <w:noProof/>
        </w:rPr>
      </w:pPr>
      <w:r>
        <w:t>1.5 The Working Hypothesis Formed Before the Research Began</w:t>
        <w:tab/>
        <w:t>3</w:t>
      </w:r>
    </w:p>
    <w:p w14:paraId="566BE719" w14:textId="77777777" w:rsidR="00FD5D21" w:rsidRDefault="00FD5D21">
      <w:pPr>
        <w:pStyle w:val="TOC2"/>
        <w:tabs>
          <w:tab w:val="right" w:leader="dot" w:pos="8495"/>
        </w:tabs>
        <w:rPr>
          <w:noProof/>
        </w:rPr>
      </w:pPr>
      <w:r>
        <w:t>1.6 The Initial Survey: Building the Foundation of the Programme</w:t>
        <w:tab/>
        <w:t>4</w:t>
      </w:r>
    </w:p>
    <w:p w14:paraId="048D8220" w14:textId="77777777" w:rsidR="00FD5D21" w:rsidRDefault="00FD5D21">
      <w:pPr>
        <w:pStyle w:val="TOC2"/>
        <w:tabs>
          <w:tab w:val="right" w:leader="dot" w:pos="8495"/>
        </w:tabs>
        <w:rPr>
          <w:noProof/>
        </w:rPr>
      </w:pPr>
      <w:r>
        <w:t>1.7 The Three F4 Residents and the Objective-Score-Improvement/Non-Return Paradox</w:t>
        <w:tab/>
        <w:t>5</w:t>
      </w:r>
    </w:p>
    <w:p w14:paraId="43C5C983" w14:textId="77777777" w:rsidR="00FD5D21" w:rsidRDefault="00FD5D21">
      <w:pPr>
        <w:pStyle w:val="TOC2"/>
        <w:tabs>
          <w:tab w:val="right" w:leader="dot" w:pos="8495"/>
        </w:tabs>
        <w:rPr>
          <w:noProof/>
        </w:rPr>
      </w:pPr>
      <w:r>
        <w:t>1.8 The Learn-to-Earn Philosophy: A Thread Running Through the Journey</w:t>
        <w:tab/>
        <w:t>6</w:t>
      </w:r>
    </w:p>
    <w:p w14:paraId="15D06FCC" w14:textId="77777777" w:rsidR="00FD5D21" w:rsidRDefault="00FD5D21">
      <w:pPr>
        <w:pStyle w:val="TOC2"/>
        <w:tabs>
          <w:tab w:val="right" w:leader="dot" w:pos="8495"/>
        </w:tabs>
        <w:rPr>
          <w:noProof/>
        </w:rPr>
      </w:pPr>
      <w:r>
        <w:t>1.9 The Decoupling Test and the Closure of the Empirical Arc</w:t>
        <w:tab/>
        <w:t>6</w:t>
      </w:r>
    </w:p>
    <w:p w14:paraId="785DAA57" w14:textId="77777777" w:rsidR="00FD5D21" w:rsidRDefault="00FD5D21">
      <w:pPr>
        <w:pStyle w:val="TOC2"/>
        <w:tabs>
          <w:tab w:val="right" w:leader="dot" w:pos="8495"/>
        </w:tabs>
        <w:rPr>
          <w:noProof/>
        </w:rPr>
      </w:pPr>
      <w:r>
        <w:t>1.10 The Researcher's Position</w:t>
        <w:tab/>
        <w:t>7</w:t>
      </w:r>
    </w:p>
    <w:p w14:paraId="3C5CC584" w14:textId="77777777" w:rsidR="00FD5D21" w:rsidRDefault="00FD5D21">
      <w:pPr>
        <w:pStyle w:val="TOC2"/>
        <w:tabs>
          <w:tab w:val="right" w:leader="dot" w:pos="8495"/>
        </w:tabs>
        <w:rPr>
          <w:noProof/>
        </w:rPr>
      </w:pPr>
      <w:r>
        <w:t>1.11 Aim and Research Questions</w:t>
        <w:tab/>
        <w:t>8</w:t>
      </w:r>
    </w:p>
    <w:p w14:paraId="4E1220CF" w14:textId="77777777" w:rsidR="00FD5D21" w:rsidRDefault="00FD5D21">
      <w:pPr>
        <w:pStyle w:val="TOC2"/>
        <w:tabs>
          <w:tab w:val="right" w:leader="dot" w:pos="8495"/>
        </w:tabs>
        <w:rPr>
          <w:noProof/>
        </w:rPr>
      </w:pPr>
      <w:r>
        <w:t>1.12 Original Contributions</w:t>
        <w:tab/>
        <w:t>9</w:t>
      </w:r>
    </w:p>
    <w:p w14:paraId="28818675" w14:textId="77777777" w:rsidR="00FD5D21" w:rsidRDefault="00FD5D21">
      <w:pPr>
        <w:pStyle w:val="TOC2"/>
        <w:tabs>
          <w:tab w:val="right" w:leader="dot" w:pos="8495"/>
        </w:tabs>
        <w:rPr>
          <w:noProof/>
        </w:rPr>
      </w:pPr>
      <w:r>
        <w:t>1.13 Scope, Boundaries, and What This Thesis Does Not Claim</w:t>
        <w:tab/>
        <w:t>9</w:t>
      </w:r>
    </w:p>
    <w:p w14:paraId="0C100781" w14:textId="77777777" w:rsidR="00FD5D21" w:rsidRDefault="00FD5D21">
      <w:pPr>
        <w:pStyle w:val="TOC2"/>
        <w:tabs>
          <w:tab w:val="right" w:leader="dot" w:pos="8495"/>
        </w:tabs>
        <w:rPr>
          <w:noProof/>
        </w:rPr>
      </w:pPr>
      <w:r>
        <w:t>1.14 Structure of the Thesis</w:t>
        <w:tab/>
        <w:t>10</w:t>
      </w:r>
    </w:p>
    <w:p w14:paraId="5DFCA0E6" w14:textId="77777777" w:rsidR="00FD5D21" w:rsidRDefault="00FD5D21">
      <w:pPr>
        <w:pStyle w:val="TOC1"/>
        <w:tabs>
          <w:tab w:val="right" w:leader="dot" w:pos="8495"/>
        </w:tabs>
        <w:rPr>
          <w:noProof/>
        </w:rPr>
      </w:pPr>
      <w:r>
        <w:t>Chapter 2 Literature Review and Theoretical Foundation</w:t>
        <w:tab/>
        <w:t>11</w:t>
      </w:r>
    </w:p>
    <w:p w14:paraId="3FB58ADF" w14:textId="77777777" w:rsidR="00FD5D21" w:rsidRDefault="00FD5D21">
      <w:pPr>
        <w:pStyle w:val="TOC2"/>
        <w:tabs>
          <w:tab w:val="right" w:leader="dot" w:pos="8495"/>
        </w:tabs>
        <w:rPr>
          <w:noProof/>
        </w:rPr>
      </w:pPr>
      <w:r>
        <w:t>2.1 The Transformative Logic of the Literature Review</w:t>
        <w:tab/>
        <w:t>11</w:t>
      </w:r>
    </w:p>
    <w:p w14:paraId="329D5565" w14:textId="77777777" w:rsidR="00FD5D21" w:rsidRDefault="00FD5D21">
      <w:pPr>
        <w:pStyle w:val="TOC2"/>
        <w:tabs>
          <w:tab w:val="right" w:leader="dot" w:pos="8495"/>
        </w:tabs>
        <w:rPr>
          <w:noProof/>
        </w:rPr>
      </w:pPr>
      <w:r>
        <w:t>2.2 Stage One: The Technology Acceptance Lineage</w:t>
        <w:tab/>
        <w:t>12</w:t>
      </w:r>
    </w:p>
    <w:p w14:paraId="58E1C900" w14:textId="77777777" w:rsidR="00FD5D21" w:rsidRDefault="00FD5D21">
      <w:pPr>
        <w:pStyle w:val="TOC3"/>
        <w:tabs>
          <w:tab w:val="right" w:leader="dot" w:pos="8495"/>
        </w:tabs>
        <w:rPr>
          <w:noProof/>
        </w:rPr>
      </w:pPr>
      <w:r>
        <w:t>2.2.1 TAM and the Two-Construct Core</w:t>
        <w:tab/>
        <w:t>12</w:t>
      </w:r>
    </w:p>
    <w:p w14:paraId="68E8DF83" w14:textId="77777777" w:rsidR="00FD5D21" w:rsidRDefault="00FD5D21">
      <w:pPr>
        <w:pStyle w:val="TOC3"/>
        <w:tabs>
          <w:tab w:val="right" w:leader="dot" w:pos="8495"/>
        </w:tabs>
        <w:rPr>
          <w:noProof/>
        </w:rPr>
      </w:pPr>
      <w:r>
        <w:lastRenderedPageBreak/>
        <w:t>2.2.2 TAM2, TAM3 and UTAUT</w:t>
        <w:tab/>
        <w:t>12</w:t>
      </w:r>
    </w:p>
    <w:p w14:paraId="48D38E9D" w14:textId="77777777" w:rsidR="00FD5D21" w:rsidRDefault="00FD5D21">
      <w:pPr>
        <w:pStyle w:val="TOC3"/>
        <w:tabs>
          <w:tab w:val="right" w:leader="dot" w:pos="8495"/>
        </w:tabs>
        <w:rPr>
          <w:noProof/>
        </w:rPr>
      </w:pPr>
      <w:r>
        <w:t>2.2.3 The Senior Technology Acceptance Model (STAM)</w:t>
        <w:tab/>
        <w:t>13</w:t>
      </w:r>
    </w:p>
    <w:p w14:paraId="7712F7B2" w14:textId="77777777" w:rsidR="00FD5D21" w:rsidRDefault="00FD5D21">
      <w:pPr>
        <w:pStyle w:val="TOC2"/>
        <w:tabs>
          <w:tab w:val="right" w:leader="dot" w:pos="8495"/>
        </w:tabs>
        <w:rPr>
          <w:noProof/>
        </w:rPr>
      </w:pPr>
      <w:r>
        <w:t>2.3 Stage Two: Gamification, Octalysis and the An–Cheung Demonstration</w:t>
        <w:tab/>
        <w:t>13</w:t>
      </w:r>
    </w:p>
    <w:p w14:paraId="2DB55FA0" w14:textId="77777777" w:rsidR="00FD5D21" w:rsidRDefault="00FD5D21">
      <w:pPr>
        <w:pStyle w:val="TOC3"/>
        <w:tabs>
          <w:tab w:val="right" w:leader="dot" w:pos="8495"/>
        </w:tabs>
        <w:rPr>
          <w:noProof/>
        </w:rPr>
      </w:pPr>
      <w:r>
        <w:t>2.3.1 Defining Gamification</w:t>
        <w:tab/>
        <w:t>13</w:t>
      </w:r>
    </w:p>
    <w:p w14:paraId="22224FA0" w14:textId="77777777" w:rsidR="00FD5D21" w:rsidRDefault="00FD5D21">
      <w:pPr>
        <w:pStyle w:val="TOC3"/>
        <w:tabs>
          <w:tab w:val="right" w:leader="dot" w:pos="8495"/>
        </w:tabs>
        <w:rPr>
          <w:noProof/>
        </w:rPr>
      </w:pPr>
      <w:r>
        <w:t>2.3.2 The Octalysis Framework</w:t>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tab/>
        <w:t>14</w:t>
      </w:r>
    </w:p>
    <w:p w14:paraId="7B53A685" w14:textId="77777777" w:rsidR="00FD5D21" w:rsidRDefault="00FD5D21">
      <w:pPr>
        <w:pStyle w:val="TOC3"/>
        <w:tabs>
          <w:tab w:val="right" w:leader="dot" w:pos="8495"/>
        </w:tabs>
        <w:rPr>
          <w:noProof/>
        </w:rPr>
      </w:pPr>
      <w:r>
        <w:t>2.3.4 The Boundary: When the Technology is Attached to FRA</w:t>
        <w:tab/>
        <w:t>14</w:t>
      </w:r>
    </w:p>
    <w:p>
      <w:pPr>
        <w:pStyle w:val="TOC3"/>
      </w:pPr>
      <w:r>
        <w:t>2.3.5 The Null Hypothesis Built From Stages One and Two</w:t>
      </w:r>
    </w:p>
    <w:p w14:paraId="5328328D" w14:textId="77777777" w:rsidR="00FD5D21" w:rsidRDefault="00FD5D21">
      <w:pPr>
        <w:pStyle w:val="TOC2"/>
        <w:tabs>
          <w:tab w:val="right" w:leader="dot" w:pos="8495"/>
        </w:tabs>
        <w:rPr>
          <w:noProof/>
        </w:rPr>
      </w:pPr>
      <w:r>
        <w:t>2.4 Stage Three: Self-Efficacy as the First Diagnostic Layer</w:t>
        <w:tab/>
        <w:t>15</w:t>
      </w:r>
    </w:p>
    <w:p w14:paraId="48283D30" w14:textId="77777777" w:rsidR="00FD5D21" w:rsidRDefault="00FD5D21">
      <w:pPr>
        <w:pStyle w:val="TOC3"/>
        <w:tabs>
          <w:tab w:val="right" w:leader="dot" w:pos="8495"/>
        </w:tabs>
        <w:rPr>
          <w:noProof/>
        </w:rPr>
      </w:pPr>
      <w:r>
        <w:t>2.4.1 Bandura's Self-Efficacy</w:t>
        <w:tab/>
        <w:t>15</w:t>
      </w:r>
    </w:p>
    <w:p w14:paraId="4AC03ED7" w14:textId="77777777" w:rsidR="00FD5D21" w:rsidRDefault="00FD5D21">
      <w:pPr>
        <w:pStyle w:val="TOC3"/>
        <w:tabs>
          <w:tab w:val="right" w:leader="dot" w:pos="8495"/>
        </w:tabs>
        <w:rPr>
          <w:noProof/>
        </w:rPr>
      </w:pPr>
      <w:r>
        <w:t>2.4.2 Computer Self-Efficacy Among Older Adults</w:t>
        <w:tab/>
        <w:t>15</w:t>
      </w:r>
    </w:p>
    <w:p w14:paraId="4C37A73B" w14:textId="77777777" w:rsidR="00FD5D21" w:rsidRDefault="00FD5D21">
      <w:pPr>
        <w:pStyle w:val="TOC3"/>
        <w:tabs>
          <w:tab w:val="right" w:leader="dot" w:pos="8495"/>
        </w:tabs>
        <w:rPr>
          <w:noProof/>
        </w:rPr>
      </w:pPr>
      <w:r>
        <w:t>2.4.3 The Fear-and-Failure Cycle</w:t>
        <w:tab/>
        <w:t>16</w:t>
      </w:r>
    </w:p>
    <w:p w14:paraId="0E175635" w14:textId="77777777" w:rsidR="00FD5D21" w:rsidRDefault="00FD5D21">
      <w:pPr>
        <w:pStyle w:val="TOC3"/>
        <w:tabs>
          <w:tab w:val="right" w:leader="dot" w:pos="8495"/>
        </w:tabs>
        <w:rPr>
          <w:noProof/>
        </w:rPr>
      </w:pPr>
      <w:r>
        <w:t>2.4.4 What Self-Efficacy Explains and What It Does Not</w:t>
        <w:tab/>
        <w:t>16</w:t>
      </w:r>
    </w:p>
    <w:p w14:paraId="3052E594" w14:textId="77777777" w:rsidR="00FD5D21" w:rsidRDefault="00FD5D21">
      <w:pPr>
        <w:pStyle w:val="TOC2"/>
        <w:tabs>
          <w:tab w:val="right" w:leader="dot" w:pos="8495"/>
        </w:tabs>
        <w:rPr>
          <w:noProof/>
        </w:rPr>
      </w:pPr>
      <w:r>
        <w:t>2.5 Stage Four: Behavioural Science as a Candidate FIAS Account</w:t>
        <w:tab/>
        <w:t>16</w:t>
      </w:r>
    </w:p>
    <w:p w14:paraId="773E2CB0" w14:textId="77777777" w:rsidR="00FD5D21" w:rsidRDefault="00FD5D21">
      <w:pPr>
        <w:pStyle w:val="TOC3"/>
        <w:tabs>
          <w:tab w:val="right" w:leader="dot" w:pos="8495"/>
        </w:tabs>
        <w:rPr>
          <w:noProof/>
        </w:rPr>
      </w:pPr>
      <w:r>
        <w:t>2.5.1 Why Behavioural Science Is Required</w:t>
        <w:tab/>
        <w:t>16</w:t>
      </w:r>
    </w:p>
    <w:p w14:paraId="2745588C" w14:textId="77777777" w:rsidR="00FD5D21" w:rsidRDefault="00FD5D21">
      <w:pPr>
        <w:pStyle w:val="TOC3"/>
        <w:tabs>
          <w:tab w:val="right" w:leader="dot" w:pos="8495"/>
        </w:tabs>
        <w:rPr>
          <w:noProof/>
        </w:rPr>
      </w:pPr>
      <w:r>
        <w:t>2.5.2 Prospect Theory and Loss Aversion</w:t>
        <w:tab/>
        <w:t>17</w:t>
      </w:r>
    </w:p>
    <w:p w14:paraId="2A62A909" w14:textId="77777777" w:rsidR="00FD5D21" w:rsidRDefault="00FD5D21">
      <w:pPr>
        <w:pStyle w:val="TOC3"/>
        <w:tabs>
          <w:tab w:val="right" w:leader="dot" w:pos="8495"/>
        </w:tabs>
        <w:rPr>
          <w:noProof/>
        </w:rPr>
      </w:pPr>
      <w:r>
        <w:t>2.5.3 The Endowment Effect on Identity-Level Assets</w:t>
        <w:tab/>
        <w:t>17</w:t>
      </w:r>
    </w:p>
    <w:p w14:paraId="25FB7E43" w14:textId="77777777" w:rsidR="00FD5D21" w:rsidRDefault="00FD5D21">
      <w:pPr>
        <w:pStyle w:val="TOC3"/>
        <w:tabs>
          <w:tab w:val="right" w:leader="dot" w:pos="8495"/>
        </w:tabs>
        <w:rPr>
          <w:noProof/>
        </w:rPr>
      </w:pPr>
      <w:r>
        <w:t>2.5.4 Mental Accounting of Health Outcomes</w:t>
        <w:tab/>
        <w:t>17</w:t>
      </w:r>
    </w:p>
    <w:p w14:paraId="3C278876" w14:textId="77777777" w:rsidR="00FD5D21" w:rsidRDefault="00FD5D21">
      <w:pPr>
        <w:pStyle w:val="TOC3"/>
        <w:tabs>
          <w:tab w:val="right" w:leader="dot" w:pos="8495"/>
        </w:tabs>
        <w:rPr>
          <w:noProof/>
        </w:rPr>
      </w:pPr>
      <w:r>
        <w:t>2.5.5 Stereotype Threat as the Trigger</w:t>
        <w:tab/>
        <w:t>18</w:t>
      </w:r>
    </w:p>
    <w:p w14:paraId="53AAF294" w14:textId="77777777" w:rsidR="00FD5D21" w:rsidRDefault="00FD5D21">
      <w:pPr>
        <w:pStyle w:val="TOC3"/>
        <w:tabs>
          <w:tab w:val="right" w:leader="dot" w:pos="8495"/>
        </w:tabs>
        <w:rPr>
          <w:noProof/>
        </w:rPr>
      </w:pPr>
      <w:r>
        <w:t>2.5.6 A Four-Layer Behavioural Integration Proposed for FIAS</w:t>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tab/>
        <w:t>19</w:t>
      </w:r>
    </w:p>
    <w:p w14:paraId="1FAC8342" w14:textId="77777777" w:rsidR="00FD5D21" w:rsidRDefault="00FD5D21">
      <w:pPr>
        <w:pStyle w:val="TOC3"/>
        <w:tabs>
          <w:tab w:val="right" w:leader="dot" w:pos="8495"/>
        </w:tabs>
        <w:rPr>
          <w:noProof/>
        </w:rPr>
      </w:pPr>
      <w:r>
        <w:t>2.6.1 The Question Stage Four Leaves Open</w:t>
        <w:tab/>
        <w:t>19</w:t>
      </w:r>
    </w:p>
    <w:p w14:paraId="38342C35" w14:textId="77777777" w:rsidR="00FD5D21" w:rsidRDefault="00FD5D21">
      <w:pPr>
        <w:pStyle w:val="TOC3"/>
        <w:tabs>
          <w:tab w:val="right" w:leader="dot" w:pos="8495"/>
        </w:tabs>
        <w:rPr>
          <w:noProof/>
        </w:rPr>
      </w:pPr>
      <w:r>
        <w:t>2.6.2 Productive Failure and Adaptive Learning</w:t>
        <w:tab/>
        <w:t>19</w:t>
      </w:r>
    </w:p>
    <w:p w14:paraId="4490ADB1" w14:textId="77777777" w:rsidR="00FD5D21" w:rsidRDefault="00FD5D21">
      <w:pPr>
        <w:pStyle w:val="TOC3"/>
        <w:tabs>
          <w:tab w:val="right" w:leader="dot" w:pos="8495"/>
        </w:tabs>
        <w:rPr>
          <w:noProof/>
        </w:rPr>
      </w:pPr>
      <w:r>
        <w:t>2.6.2A The Theoretical Lineage of Adaptive Learning</w:t>
        <w:tab/>
        <w:t>19</w:t>
      </w:r>
    </w:p>
    <w:p w14:paraId="7D64413B" w14:textId="77777777" w:rsidR="00FD5D21" w:rsidRDefault="00FD5D21">
      <w:pPr>
        <w:pStyle w:val="TOC3"/>
        <w:tabs>
          <w:tab w:val="right" w:leader="dot" w:pos="8495"/>
        </w:tabs>
        <w:rPr>
          <w:noProof/>
        </w:rPr>
      </w:pPr>
      <w:r>
        <w:t>2.6.2B Self-Determination Theory and Goal-Setting as Motivational Scaffolding</w:t>
        <w:tab/>
        <w:t>20</w:t>
      </w:r>
    </w:p>
    <w:p>
      <w:pPr>
        <w:pStyle w:val="TOC3"/>
      </w:pPr>
      <w:r>
        <w:t>2.6.2C Zero-Failure Design: A Research-Generated Concept That Inverts Octalysis D8</w:t>
      </w:r>
    </w:p>
    <w:p w14:paraId="0A275DC9" w14:textId="77777777" w:rsidR="00FD5D21" w:rsidRDefault="00FD5D21">
      <w:pPr>
        <w:pStyle w:val="TOC3"/>
        <w:tabs>
          <w:tab w:val="right" w:leader="dot" w:pos="8495"/>
        </w:tabs>
        <w:rPr>
          <w:noProof/>
        </w:rPr>
      </w:pPr>
      <w:r>
        <w:t>2.6.3 Endowment-Protective and Learning-Trajectory Appraisals as Competing Regimes</w:t>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tab/>
        <w:t>21</w:t>
      </w:r>
    </w:p>
    <w:p w14:paraId="42A44F34" w14:textId="77777777" w:rsidR="00FD5D21" w:rsidRDefault="00FD5D21">
      <w:pPr>
        <w:pStyle w:val="TOC2"/>
        <w:tabs>
          <w:tab w:val="right" w:leader="dot" w:pos="8495"/>
        </w:tabs>
        <w:rPr>
          <w:noProof/>
        </w:rPr>
      </w:pPr>
      <w:r>
        <w:t>2.7 Supporting Evidence and Adjacent Frameworks</w:t>
        <w:tab/>
        <w:t>22</w:t>
      </w:r>
    </w:p>
    <w:p w14:paraId="347F4CF1" w14:textId="77777777" w:rsidR="00FD5D21" w:rsidRDefault="00FD5D21">
      <w:pPr>
        <w:pStyle w:val="TOC3"/>
        <w:tabs>
          <w:tab w:val="right" w:leader="dot" w:pos="8495"/>
        </w:tabs>
        <w:rPr>
          <w:noProof/>
        </w:rPr>
      </w:pPr>
      <w:r>
        <w:t>2.7.1 Gamification for Older Adults: The Koivisto and Malik Review</w:t>
        <w:tab/>
        <w:t>22</w:t>
      </w:r>
    </w:p>
    <w:p w14:paraId="12B7853B" w14:textId="77777777" w:rsidR="00FD5D21" w:rsidRDefault="00FD5D21">
      <w:pPr>
        <w:pStyle w:val="TOC3"/>
        <w:tabs>
          <w:tab w:val="right" w:leader="dot" w:pos="8495"/>
        </w:tabs>
        <w:rPr>
          <w:noProof/>
        </w:rPr>
      </w:pPr>
      <w:r>
        <w:t>2.7.2 The NASSS Framework: Documented Abandonment Without a Mechanism</w:t>
        <w:tab/>
        <w:t>22</w:t>
      </w:r>
    </w:p>
    <w:p w14:paraId="257EED72" w14:textId="77777777" w:rsidR="00FD5D21" w:rsidRDefault="00FD5D21">
      <w:pPr>
        <w:pStyle w:val="TOC3"/>
        <w:tabs>
          <w:tab w:val="right" w:leader="dot" w:pos="8495"/>
        </w:tabs>
        <w:rPr>
          <w:noProof/>
        </w:rPr>
      </w:pPr>
      <w:r>
        <w:t>2.7.3 Cross-Cultural Reference: The Korean Comparison</w:t>
        <w:tab/>
        <w:t>23</w:t>
      </w:r>
    </w:p>
    <w:p w14:paraId="1167ED0F" w14:textId="77777777" w:rsidR="00FD5D21" w:rsidRDefault="00FD5D21">
      <w:pPr>
        <w:pStyle w:val="TOC3"/>
        <w:tabs>
          <w:tab w:val="right" w:leader="dot" w:pos="8495"/>
        </w:tabs>
        <w:rPr>
          <w:noProof/>
        </w:rPr>
      </w:pPr>
      <w:r>
        <w:t>2.7.4 Information Entropy as a Bridge Lens</w:t>
        <w:tab/>
        <w:t>23</w:t>
      </w:r>
    </w:p>
    <w:p w14:paraId="5AFE063B" w14:textId="77777777" w:rsidR="00FD5D21" w:rsidRDefault="00FD5D21">
      <w:pPr>
        <w:pStyle w:val="TOC2"/>
        <w:tabs>
          <w:tab w:val="right" w:leader="dot" w:pos="8495"/>
        </w:tabs>
        <w:rPr>
          <w:noProof/>
        </w:rPr>
      </w:pPr>
      <w:r>
        <w:t>2.8 Synthesis: The Five-Stage Transformative Argument</w:t>
        <w:tab/>
        <w:t>23</w:t>
      </w:r>
    </w:p>
    <w:p w14:paraId="5E41DE99" w14:textId="77777777" w:rsidR="00FD5D21" w:rsidRDefault="00FD5D21">
      <w:pPr>
        <w:pStyle w:val="TOC1"/>
        <w:tabs>
          <w:tab w:val="right" w:leader="dot" w:pos="8495"/>
        </w:tabs>
        <w:rPr>
          <w:noProof/>
        </w:rPr>
      </w:pPr>
      <w:r>
        <w:t>Chapter 3 Research Methodology</w:t>
        <w:tab/>
        <w:t>25</w:t>
      </w:r>
    </w:p>
    <w:p w14:paraId="20057345" w14:textId="77777777" w:rsidR="00FD5D21" w:rsidRDefault="00FD5D21">
      <w:pPr>
        <w:pStyle w:val="TOC2"/>
        <w:tabs>
          <w:tab w:val="right" w:leader="dot" w:pos="8495"/>
        </w:tabs>
        <w:rPr>
          <w:noProof/>
        </w:rPr>
      </w:pPr>
      <w:r>
        <w:t>3.1 Action Research as the Methodological Frame</w:t>
        <w:tab/>
        <w:t>25</w:t>
      </w:r>
    </w:p>
    <w:p w14:paraId="0C23CFD3" w14:textId="77777777" w:rsidR="00FD5D21" w:rsidRDefault="00FD5D21">
      <w:pPr>
        <w:pStyle w:val="TOC2"/>
        <w:tabs>
          <w:tab w:val="right" w:leader="dot" w:pos="8495"/>
        </w:tabs>
        <w:rPr>
          <w:noProof/>
        </w:rPr>
      </w:pPr>
      <w:r>
        <w:t>3.2 Three-Stage Design</w:t>
        <w:tab/>
        <w:t>25</w:t>
      </w:r>
    </w:p>
    <w:p w14:paraId="54E87624" w14:textId="77777777" w:rsidR="00FD5D21" w:rsidRDefault="00FD5D21">
      <w:pPr>
        <w:pStyle w:val="TOC2"/>
        <w:tabs>
          <w:tab w:val="right" w:leader="dot" w:pos="8495"/>
        </w:tabs>
        <w:rPr>
          <w:noProof/>
        </w:rPr>
      </w:pPr>
      <w:r>
        <w:t>3.3 Methodology Overview Infographic</w:t>
        <w:tab/>
        <w:t>26</w:t>
      </w:r>
    </w:p>
    <w:p w14:paraId="75092E86" w14:textId="77777777" w:rsidR="00FD5D21" w:rsidRDefault="00FD5D21">
      <w:pPr>
        <w:pStyle w:val="TOC2"/>
        <w:tabs>
          <w:tab w:val="right" w:leader="dot" w:pos="8495"/>
        </w:tabs>
        <w:rPr>
          <w:noProof/>
        </w:rPr>
      </w:pPr>
      <w:r>
        <w:t>3.4 Ethics, Consent, Data Governance</w:t>
        <w:tab/>
        <w:t>26</w:t>
      </w:r>
    </w:p>
    <w:p w14:paraId="7C4AB6A6" w14:textId="77777777" w:rsidR="00FD5D21" w:rsidRDefault="00FD5D21">
      <w:pPr>
        <w:pStyle w:val="TOC2"/>
        <w:tabs>
          <w:tab w:val="right" w:leader="dot" w:pos="8495"/>
        </w:tabs>
        <w:rPr>
          <w:noProof/>
        </w:rPr>
      </w:pPr>
      <w:r>
        <w:t>3.5 Methodological Limits and Mitigations</w:t>
        <w:tab/>
        <w:t>27</w:t>
      </w:r>
    </w:p>
    <w:p w14:paraId="594DF4C4" w14:textId="77777777" w:rsidR="00FD5D21" w:rsidRDefault="00FD5D21">
      <w:pPr>
        <w:pStyle w:val="TOC2"/>
        <w:tabs>
          <w:tab w:val="right" w:leader="dot" w:pos="8495"/>
        </w:tabs>
        <w:rPr>
          <w:noProof/>
        </w:rPr>
      </w:pPr>
      <w:r>
        <w:t>3.6 An Instrumentation Roadmap for the Adaptive-Learning Claim</w:t>
        <w:tab/>
        <w:t>27</w:t>
      </w:r>
    </w:p>
    <w:p w14:paraId="1EB3E3CA" w14:textId="77777777" w:rsidR="00FD5D21" w:rsidRDefault="00FD5D21">
      <w:pPr>
        <w:pStyle w:val="TOC1"/>
        <w:tabs>
          <w:tab w:val="right" w:leader="dot" w:pos="8495"/>
        </w:tabs>
        <w:rPr>
          <w:noProof/>
        </w:rPr>
      </w:pPr>
      <w:r>
        <w:t>Chapter 4 Stage 1 — From FIDS to FIAS</w:t>
        <w:tab/>
        <w:t>28</w:t>
      </w:r>
    </w:p>
    <w:p w14:paraId="76367507" w14:textId="77777777" w:rsidR="00FD5D21" w:rsidRDefault="00FD5D21">
      <w:pPr>
        <w:pStyle w:val="TOC2"/>
        <w:tabs>
          <w:tab w:val="right" w:leader="dot" w:pos="8495"/>
        </w:tabs>
        <w:rPr>
          <w:noProof/>
        </w:rPr>
      </w:pPr>
      <w:r>
        <w:t>4.1 Purpose</w:t>
        <w:tab/>
        <w:t>28</w:t>
      </w:r>
    </w:p>
    <w:p w14:paraId="223473AC" w14:textId="77777777" w:rsidR="00FD5D21" w:rsidRDefault="00FD5D21">
      <w:pPr>
        <w:pStyle w:val="TOC2"/>
        <w:tabs>
          <w:tab w:val="right" w:leader="dot" w:pos="8495"/>
        </w:tabs>
        <w:rPr>
          <w:noProof/>
        </w:rPr>
      </w:pPr>
      <w:r>
        <w:t>4.1A What is Fall Risk Assessment (FRA)? Basic System Design and Features</w:t>
        <w:tab/>
        <w:t>29</w:t>
      </w:r>
    </w:p>
    <w:p w14:paraId="51465723" w14:textId="77777777" w:rsidR="00FD5D21" w:rsidRDefault="00FD5D21">
      <w:pPr>
        <w:pStyle w:val="TOC2"/>
        <w:tabs>
          <w:tab w:val="right" w:leader="dot" w:pos="8495"/>
        </w:tabs>
        <w:rPr>
          <w:noProof/>
        </w:rPr>
      </w:pPr>
      <w:r>
        <w:t>4.2 The Guangzhou Survey (N = 200 of 280 Residents)</w:t>
        <w:tab/>
        <w:t>31</w:t>
      </w:r>
    </w:p>
    <w:p w14:paraId="1289C8C3" w14:textId="77777777" w:rsidR="00FD5D21" w:rsidRDefault="00FD5D21">
      <w:pPr>
        <w:pStyle w:val="TOC2"/>
        <w:tabs>
          <w:tab w:val="right" w:leader="dot" w:pos="8495"/>
        </w:tabs>
        <w:rPr>
          <w:noProof/>
        </w:rPr>
      </w:pPr>
      <w:r>
        <w:t>4.3 TAM, STAM and the Limitation for Retired Users</w:t>
        <w:tab/>
        <w:t>32</w:t>
      </w:r>
    </w:p>
    <w:p w14:paraId="4AE79BA9" w14:textId="77777777" w:rsidR="00FD5D21" w:rsidRDefault="00FD5D21">
      <w:pPr>
        <w:pStyle w:val="TOC2"/>
        <w:tabs>
          <w:tab w:val="right" w:leader="dot" w:pos="8495"/>
        </w:tabs>
        <w:rPr>
          <w:noProof/>
        </w:rPr>
      </w:pPr>
      <w:r>
        <w:t>4.4 Octalysis and the In-Game Loss Assumption</w:t>
        <w:tab/>
        <w:t>32</w:t>
      </w:r>
    </w:p>
    <w:p w14:paraId="324B6C6D" w14:textId="77777777" w:rsidR="00FD5D21" w:rsidRDefault="00FD5D21">
      <w:pPr>
        <w:pStyle w:val="TOC2"/>
        <w:tabs>
          <w:tab w:val="right" w:leader="dot" w:pos="8495"/>
        </w:tabs>
        <w:rPr>
          <w:noProof/>
        </w:rPr>
      </w:pPr>
      <w:r>
        <w:t>4.5 Behavioural Science Lenses</w:t>
        <w:tab/>
        <w:t>33</w:t>
      </w:r>
    </w:p>
    <w:p w14:paraId="128B56C2" w14:textId="77777777" w:rsidR="00FD5D21" w:rsidRDefault="00FD5D21">
      <w:pPr>
        <w:pStyle w:val="TOC2"/>
        <w:tabs>
          <w:tab w:val="right" w:leader="dot" w:pos="8495"/>
        </w:tabs>
        <w:rPr>
          <w:noProof/>
        </w:rPr>
      </w:pPr>
      <w:r>
        <w:t>4.6 Terminological Correction: FIDS to FIAS</w:t>
        <w:tab/>
        <w:t>33</w:t>
      </w:r>
    </w:p>
    <w:p w14:paraId="068C1D0F" w14:textId="77777777" w:rsidR="00FD5D21" w:rsidRDefault="00FD5D21">
      <w:pPr>
        <w:pStyle w:val="TOC2"/>
        <w:tabs>
          <w:tab w:val="right" w:leader="dot" w:pos="8495"/>
        </w:tabs>
        <w:rPr>
          <w:noProof/>
        </w:rPr>
      </w:pPr>
      <w:r>
        <w:t>4.7 Cross-Cultural Reference Point</w:t>
        <w:tab/>
        <w:t>34</w:t>
      </w:r>
    </w:p>
    <w:p w14:paraId="48436DFD" w14:textId="77777777" w:rsidR="00FD5D21" w:rsidRDefault="00FD5D21">
      <w:pPr>
        <w:pStyle w:val="TOC2"/>
        <w:tabs>
          <w:tab w:val="right" w:leader="dot" w:pos="8495"/>
        </w:tabs>
        <w:rPr>
          <w:noProof/>
        </w:rPr>
      </w:pPr>
      <w:r>
        <w:t>4.8 Output and Stage-1 Limitations</w:t>
        <w:tab/>
        <w:t>34</w:t>
      </w:r>
    </w:p>
    <w:p w14:paraId="5DDF5CD3" w14:textId="77777777" w:rsidR="00FD5D21" w:rsidRDefault="00FD5D21">
      <w:pPr>
        <w:pStyle w:val="TOC1"/>
        <w:tabs>
          <w:tab w:val="right" w:leader="dot" w:pos="8495"/>
        </w:tabs>
        <w:rPr>
          <w:noProof/>
        </w:rPr>
      </w:pPr>
      <w:r>
        <w:t>Chapter 5 Stage 2 — Action Research with Gamified FRA</w:t>
        <w:tab/>
        <w:t>35</w:t>
      </w:r>
    </w:p>
    <w:p w14:paraId="5CF8E34B" w14:textId="77777777" w:rsidR="00FD5D21" w:rsidRDefault="00FD5D21">
      <w:pPr>
        <w:pStyle w:val="TOC2"/>
        <w:tabs>
          <w:tab w:val="right" w:leader="dot" w:pos="8495"/>
        </w:tabs>
        <w:rPr>
          <w:noProof/>
        </w:rPr>
      </w:pPr>
      <w:r>
        <w:t>5.1 Research Questions and Hypotheses</w:t>
        <w:tab/>
        <w:t>35</w:t>
      </w:r>
    </w:p>
    <w:p w14:paraId="53348983" w14:textId="77777777" w:rsidR="00FD5D21" w:rsidRDefault="00FD5D21">
      <w:pPr>
        <w:pStyle w:val="TOC2"/>
        <w:tabs>
          <w:tab w:val="right" w:leader="dot" w:pos="8495"/>
        </w:tabs>
        <w:rPr>
          <w:noProof/>
        </w:rPr>
      </w:pPr>
      <w:r>
        <w:lastRenderedPageBreak/>
        <w:t>5.2 Setting and Action-Research Approach</w:t>
        <w:tab/>
        <w:t>35</w:t>
      </w:r>
    </w:p>
    <w:p w14:paraId="218C5B8E" w14:textId="77777777" w:rsidR="00FD5D21" w:rsidRDefault="00FD5D21">
      <w:pPr>
        <w:pStyle w:val="TOC2"/>
        <w:tabs>
          <w:tab w:val="right" w:leader="dot" w:pos="8495"/>
        </w:tabs>
        <w:rPr>
          <w:noProof/>
        </w:rPr>
      </w:pPr>
      <w:r>
        <w:t>5.2A Integrating the FRA into the Skiing Game: The Dual-Purpose Mechanic in Detail</w:t>
        <w:tab/>
        <w:t>36</w:t>
      </w:r>
    </w:p>
    <w:p w14:paraId="20A11ED2" w14:textId="77777777" w:rsidR="00FD5D21" w:rsidRDefault="00FD5D21">
      <w:pPr>
        <w:pStyle w:val="TOC2"/>
        <w:tabs>
          <w:tab w:val="right" w:leader="dot" w:pos="8495"/>
        </w:tabs>
        <w:rPr>
          <w:noProof/>
        </w:rPr>
      </w:pPr>
      <w:r>
        <w:t>5.3 The Gamified Intervention — Skiing Game on the InBody Pressure Panel</w:t>
        <w:tab/>
        <w:t>39</w:t>
      </w:r>
    </w:p>
    <w:p w14:paraId="602815A9" w14:textId="77777777" w:rsidR="00FD5D21" w:rsidRDefault="00FD5D21">
      <w:pPr>
        <w:pStyle w:val="TOC3"/>
        <w:tabs>
          <w:tab w:val="right" w:leader="dot" w:pos="8495"/>
        </w:tabs>
        <w:rPr>
          <w:noProof/>
        </w:rPr>
      </w:pPr>
      <w:r>
        <w:t>5.3.1 The InBody Pressure Panel</w:t>
        <w:tab/>
        <w:t>40</w:t>
      </w:r>
    </w:p>
    <w:p w14:paraId="7CD3D726" w14:textId="77777777" w:rsidR="00FD5D21" w:rsidRDefault="00FD5D21">
      <w:pPr>
        <w:pStyle w:val="TOC3"/>
        <w:tabs>
          <w:tab w:val="right" w:leader="dot" w:pos="8495"/>
        </w:tabs>
        <w:rPr>
          <w:noProof/>
        </w:rPr>
      </w:pPr>
      <w:r>
        <w:t>5.3.2 Game Concept and Gameplay Loop</w:t>
        <w:tab/>
        <w:t>40</w:t>
      </w:r>
    </w:p>
    <w:p w14:paraId="65F1B614" w14:textId="77777777" w:rsidR="00FD5D21" w:rsidRDefault="00FD5D21">
      <w:pPr>
        <w:pStyle w:val="TOC3"/>
        <w:tabs>
          <w:tab w:val="right" w:leader="dot" w:pos="8495"/>
        </w:tabs>
        <w:rPr>
          <w:noProof/>
        </w:rPr>
      </w:pPr>
      <w:r>
        <w:t>5.3.3 On-Screen Display</w:t>
        <w:tab/>
        <w:t>40</w:t>
      </w:r>
    </w:p>
    <w:p w14:paraId="04E2FF0D" w14:textId="77777777" w:rsidR="00FD5D21" w:rsidRDefault="00FD5D21">
      <w:pPr>
        <w:pStyle w:val="TOC3"/>
        <w:tabs>
          <w:tab w:val="right" w:leader="dot" w:pos="8495"/>
        </w:tabs>
        <w:rPr>
          <w:noProof/>
        </w:rPr>
      </w:pPr>
      <w:r>
        <w:t>5.3.4 Five-Layer Architecture</w:t>
        <w:tab/>
        <w:t>41</w:t>
      </w:r>
    </w:p>
    <w:p w14:paraId="135F4AC6" w14:textId="77777777" w:rsidR="00FD5D21" w:rsidRDefault="00FD5D21">
      <w:pPr>
        <w:pStyle w:val="TOC3"/>
        <w:tabs>
          <w:tab w:val="right" w:leader="dot" w:pos="8495"/>
        </w:tabs>
        <w:rPr>
          <w:noProof/>
        </w:rPr>
      </w:pPr>
      <w:r>
        <w:t>5.3.5 Automatic Difficulty Adjustment System</w:t>
        <w:tab/>
        <w:t>42</w:t>
      </w:r>
    </w:p>
    <w:p w14:paraId="49C4587C" w14:textId="77777777" w:rsidR="00FD5D21" w:rsidRDefault="00FD5D21">
      <w:pPr>
        <w:pStyle w:val="TOC3"/>
        <w:tabs>
          <w:tab w:val="right" w:leader="dot" w:pos="8495"/>
        </w:tabs>
        <w:rPr>
          <w:noProof/>
        </w:rPr>
      </w:pPr>
      <w:r>
        <w:t>5.3.6 Data Structures and Telemetry</w:t>
        <w:tab/>
        <w:t>43</w:t>
      </w:r>
    </w:p>
    <w:p w14:paraId="0C835CA0" w14:textId="77777777" w:rsidR="00FD5D21" w:rsidRDefault="00FD5D21">
      <w:pPr>
        <w:pStyle w:val="TOC3"/>
        <w:tabs>
          <w:tab w:val="right" w:leader="dot" w:pos="8495"/>
        </w:tabs>
        <w:rPr>
          <w:noProof/>
        </w:rPr>
      </w:pPr>
      <w:r>
        <w:t>5.3.7 Sample User Profile</w:t>
        <w:tab/>
        <w:t>43</w:t>
      </w:r>
    </w:p>
    <w:p w14:paraId="268515DB" w14:textId="77777777" w:rsidR="00FD5D21" w:rsidRDefault="00FD5D21">
      <w:pPr>
        <w:pStyle w:val="TOC3"/>
        <w:tabs>
          <w:tab w:val="right" w:leader="dot" w:pos="8495"/>
        </w:tabs>
        <w:rPr>
          <w:noProof/>
        </w:rPr>
      </w:pPr>
      <w:r>
        <w:t>5.3.8 Why a Skiing Game?</w:t>
        <w:tab/>
        <w:t>44</w:t>
      </w:r>
    </w:p>
    <w:p w14:paraId="5AA44115" w14:textId="77777777" w:rsidR="00FD5D21" w:rsidRDefault="00FD5D21">
      <w:pPr>
        <w:pStyle w:val="TOC3"/>
        <w:tabs>
          <w:tab w:val="right" w:leader="dot" w:pos="8495"/>
        </w:tabs>
        <w:rPr>
          <w:noProof/>
        </w:rPr>
      </w:pPr>
      <w:r>
        <w:t>5.3.9 Development Methodology: The Claude Code-Assisted Workflow</w:t>
        <w:tab/>
        <w:t>44</w:t>
      </w:r>
    </w:p>
    <w:p w14:paraId="6A61AA41" w14:textId="77777777" w:rsidR="00FD5D21" w:rsidRDefault="00FD5D21">
      <w:pPr>
        <w:pStyle w:val="TOC3"/>
        <w:tabs>
          <w:tab w:val="right" w:leader="dot" w:pos="8495"/>
        </w:tabs>
        <w:rPr>
          <w:noProof/>
        </w:rPr>
      </w:pPr>
      <w:r>
        <w:t>5.3.10 Dynamic Game States: An Agentic-AI-Driven, Loss-Free Game Mechanic (Secondary Contribution)</w:t>
        <w:tab/>
        <w:t>46</w:t>
      </w:r>
    </w:p>
    <w:p w14:paraId="3FCD6178" w14:textId="77777777" w:rsidR="00FD5D21" w:rsidRDefault="00FD5D21">
      <w:pPr>
        <w:pStyle w:val="TOC2"/>
        <w:tabs>
          <w:tab w:val="right" w:leader="dot" w:pos="8495"/>
        </w:tabs>
        <w:rPr>
          <w:noProof/>
        </w:rPr>
      </w:pPr>
      <w:r>
        <w:t>5.4 Participants and Data Governance</w:t>
        <w:tab/>
        <w:t>48</w:t>
      </w:r>
    </w:p>
    <w:p w14:paraId="45211AF9" w14:textId="77777777" w:rsidR="00FD5D21" w:rsidRDefault="00FD5D21">
      <w:pPr>
        <w:pStyle w:val="TOC2"/>
        <w:tabs>
          <w:tab w:val="right" w:leader="dot" w:pos="8495"/>
        </w:tabs>
        <w:rPr>
          <w:noProof/>
        </w:rPr>
      </w:pPr>
      <w:r>
        <w:t>5.5 Quantitative Findings</w:t>
        <w:tab/>
        <w:t>48</w:t>
      </w:r>
    </w:p>
    <w:p w14:paraId="2214AF41" w14:textId="77777777" w:rsidR="00FD5D21" w:rsidRDefault="00FD5D21">
      <w:pPr>
        <w:pStyle w:val="TOC2"/>
        <w:tabs>
          <w:tab w:val="right" w:leader="dot" w:pos="8495"/>
        </w:tabs>
        <w:rPr>
          <w:noProof/>
        </w:rPr>
      </w:pPr>
      <w:r>
        <w:t>5.6 The F4 Cluster and the Objective-Score-Improvement/Non-Return Paradox</w:t>
        <w:tab/>
        <w:t>50</w:t>
      </w:r>
    </w:p>
    <w:p w14:paraId="0E942091" w14:textId="77777777" w:rsidR="00FD5D21" w:rsidRDefault="00FD5D21">
      <w:pPr>
        <w:pStyle w:val="TOC2"/>
        <w:tabs>
          <w:tab w:val="right" w:leader="dot" w:pos="8495"/>
        </w:tabs>
        <w:rPr>
          <w:noProof/>
        </w:rPr>
      </w:pPr>
      <w:r>
        <w:t>5.7 Theoretical Extension: Endowment, Stereotype Threat, Domain Reframing</w:t>
        <w:tab/>
        <w:t>51</w:t>
      </w:r>
    </w:p>
    <w:p w14:paraId="63B206E2" w14:textId="77777777" w:rsidR="00FD5D21" w:rsidRDefault="00FD5D21">
      <w:pPr>
        <w:pStyle w:val="TOC2"/>
        <w:tabs>
          <w:tab w:val="right" w:leader="dot" w:pos="8495"/>
        </w:tabs>
        <w:rPr>
          <w:noProof/>
        </w:rPr>
      </w:pPr>
      <w:r>
        <w:t>5.8 Information-Entropy Lens</w:t>
        <w:tab/>
        <w:t>52</w:t>
      </w:r>
    </w:p>
    <w:p w14:paraId="3FBEEC62" w14:textId="77777777" w:rsidR="00FD5D21" w:rsidRDefault="00FD5D21">
      <w:pPr>
        <w:pStyle w:val="TOC2"/>
        <w:tabs>
          <w:tab w:val="right" w:leader="dot" w:pos="8495"/>
        </w:tabs>
        <w:rPr>
          <w:noProof/>
        </w:rPr>
      </w:pPr>
      <w:r>
        <w:t>5.9 Limitations and What Stage 2 Establishes</w:t>
        <w:tab/>
        <w:t>52</w:t>
      </w:r>
    </w:p>
    <w:p w14:paraId="1A7F551A" w14:textId="77777777" w:rsidR="00FD5D21" w:rsidRDefault="00FD5D21">
      <w:pPr>
        <w:pStyle w:val="TOC1"/>
        <w:tabs>
          <w:tab w:val="right" w:leader="dot" w:pos="8495"/>
        </w:tabs>
        <w:rPr>
          <w:noProof/>
        </w:rPr>
      </w:pPr>
      <w:r>
        <w:t>Chapter 6 Stage 3 - Participant-Facing Decoupling: Between-Cohort Evidence for a Frame-Sensitive Account</w:t>
        <w:tab/>
        <w:t>54</w:t>
      </w:r>
    </w:p>
    <w:p w14:paraId="21F096B2" w14:textId="77777777" w:rsidR="00FD5D21" w:rsidRDefault="00FD5D21">
      <w:pPr>
        <w:pStyle w:val="TOC2"/>
        <w:tabs>
          <w:tab w:val="right" w:leader="dot" w:pos="8495"/>
        </w:tabs>
        <w:rPr>
          <w:noProof/>
        </w:rPr>
      </w:pPr>
      <w:r>
        <w:t>6.1 Why a Decoupling Stage</w:t>
        <w:tab/>
        <w:t>54</w:t>
      </w:r>
    </w:p>
    <w:p w14:paraId="25D1F2BF" w14:textId="77777777" w:rsidR="00FD5D21" w:rsidRDefault="00FD5D21">
      <w:pPr>
        <w:pStyle w:val="TOC2"/>
        <w:tabs>
          <w:tab w:val="right" w:leader="dot" w:pos="8495"/>
        </w:tabs>
        <w:rPr>
          <w:noProof/>
        </w:rPr>
      </w:pPr>
      <w:r>
        <w:t>6.2 Research Question and Predictions</w:t>
        <w:tab/>
        <w:t>54</w:t>
      </w:r>
    </w:p>
    <w:p w14:paraId="025A5930" w14:textId="77777777" w:rsidR="00FD5D21" w:rsidRDefault="00FD5D21">
      <w:pPr>
        <w:pStyle w:val="TOC2"/>
        <w:tabs>
          <w:tab w:val="right" w:leader="dot" w:pos="8495"/>
        </w:tabs>
        <w:rPr>
          <w:noProof/>
        </w:rPr>
      </w:pPr>
      <w:r>
        <w:t>6.3 Methodology: A Participant-Facing Decoupling Package in a Separate Cohort</w:t>
        <w:tab/>
        <w:t>54</w:t>
      </w:r>
    </w:p>
    <w:p w14:paraId="5F1C4B12" w14:textId="77777777" w:rsidR="00FD5D21" w:rsidRDefault="00FD5D21">
      <w:pPr>
        <w:pStyle w:val="TOC2"/>
        <w:tabs>
          <w:tab w:val="right" w:leader="dot" w:pos="8495"/>
        </w:tabs>
        <w:rPr>
          <w:noProof/>
        </w:rPr>
      </w:pPr>
      <w:r>
        <w:t>6.4 Participants and Apparatus</w:t>
        <w:tab/>
        <w:t>55</w:t>
      </w:r>
    </w:p>
    <w:p w14:paraId="5B78DA11" w14:textId="77777777" w:rsidR="00FD5D21" w:rsidRDefault="00FD5D21">
      <w:pPr>
        <w:pStyle w:val="TOC2"/>
        <w:tabs>
          <w:tab w:val="right" w:leader="dot" w:pos="8495"/>
        </w:tabs>
        <w:rPr>
          <w:noProof/>
        </w:rPr>
      </w:pPr>
      <w:r>
        <w:t>6.5 Findings: A Substantial Behavioural Shift</w:t>
        <w:tab/>
        <w:t>55</w:t>
      </w:r>
    </w:p>
    <w:p w14:paraId="46529791" w14:textId="77777777" w:rsidR="00FD5D21" w:rsidRDefault="00FD5D21">
      <w:pPr>
        <w:pStyle w:val="TOC2"/>
        <w:tabs>
          <w:tab w:val="right" w:leader="dot" w:pos="8495"/>
        </w:tabs>
        <w:rPr>
          <w:noProof/>
        </w:rPr>
      </w:pPr>
      <w:r>
        <w:lastRenderedPageBreak/>
        <w:t>6.6 The Objective-Score-Improvement/Non-Return Paradox Reconsidered</w:t>
        <w:tab/>
        <w:t>57</w:t>
      </w:r>
    </w:p>
    <w:p w14:paraId="698D63E6" w14:textId="77777777" w:rsidR="00FD5D21" w:rsidRDefault="00FD5D21">
      <w:pPr>
        <w:pStyle w:val="TOC2"/>
        <w:tabs>
          <w:tab w:val="right" w:leader="dot" w:pos="8495"/>
        </w:tabs>
        <w:rPr>
          <w:noProof/>
        </w:rPr>
      </w:pPr>
      <w:r>
        <w:t>6.7 Frame-Sensitive versus Dispositional Accounts: Calibrated Inference</w:t>
        <w:tab/>
        <w:t>58</w:t>
      </w:r>
    </w:p>
    <w:p w14:paraId="703E60AB" w14:textId="77777777" w:rsidR="00FD5D21" w:rsidRDefault="00FD5D21">
      <w:pPr>
        <w:pStyle w:val="TOC2"/>
        <w:tabs>
          <w:tab w:val="right" w:leader="dot" w:pos="8495"/>
        </w:tabs>
        <w:rPr>
          <w:noProof/>
        </w:rPr>
      </w:pPr>
      <w:r>
        <w:t>6.8 The Commitment Gap and Its Design Implication</w:t>
        <w:tab/>
        <w:t>58</w:t>
      </w:r>
    </w:p>
    <w:p w14:paraId="240F7277" w14:textId="77777777" w:rsidR="00FD5D21" w:rsidRDefault="00FD5D21">
      <w:pPr>
        <w:pStyle w:val="TOC2"/>
        <w:tabs>
          <w:tab w:val="right" w:leader="dot" w:pos="8495"/>
        </w:tabs>
        <w:rPr>
          <w:noProof/>
        </w:rPr>
      </w:pPr>
      <w:r>
        <w:t>6.9 Limitations of Stage 3</w:t>
        <w:tab/>
        <w:t>59</w:t>
      </w:r>
    </w:p>
    <w:p w14:paraId="7FA6F9BF" w14:textId="77777777" w:rsidR="00FD5D21" w:rsidRDefault="00FD5D21">
      <w:pPr>
        <w:pStyle w:val="TOC2"/>
        <w:tabs>
          <w:tab w:val="right" w:leader="dot" w:pos="8495"/>
        </w:tabs>
        <w:rPr>
          <w:noProof/>
        </w:rPr>
      </w:pPr>
      <w:r>
        <w:t>6.10 Quantitative Comparison Against Existing Models</w:t>
        <w:tab/>
        <w:t>59</w:t>
      </w:r>
    </w:p>
    <w:p w14:paraId="43C80F45" w14:textId="77777777" w:rsidR="00FD5D21" w:rsidRDefault="00FD5D21">
      <w:pPr>
        <w:pStyle w:val="TOC3"/>
        <w:tabs>
          <w:tab w:val="right" w:leader="dot" w:pos="8495"/>
        </w:tabs>
        <w:rPr>
          <w:noProof/>
        </w:rPr>
      </w:pPr>
      <w:r>
        <w:t>6.10.1 Three-Tier Nested Model Specification</w:t>
        <w:tab/>
        <w:t>60</w:t>
      </w:r>
    </w:p>
    <w:p w14:paraId="6CFE9FB5" w14:textId="77777777" w:rsidR="00FD5D21" w:rsidRDefault="00FD5D21">
      <w:pPr>
        <w:pStyle w:val="TOC3"/>
        <w:tabs>
          <w:tab w:val="right" w:leader="dot" w:pos="8495"/>
        </w:tabs>
        <w:rPr>
          <w:noProof/>
        </w:rPr>
      </w:pPr>
      <w:r>
        <w:t>6.10.2 Statistical Comparison Plan</w:t>
        <w:tab/>
        <w:t>61</w:t>
      </w:r>
    </w:p>
    <w:p w14:paraId="7F41D431" w14:textId="77777777" w:rsidR="00FD5D21" w:rsidRDefault="00FD5D21">
      <w:pPr>
        <w:pStyle w:val="TOC3"/>
        <w:tabs>
          <w:tab w:val="right" w:leader="dot" w:pos="8495"/>
        </w:tabs>
        <w:rPr>
          <w:noProof/>
        </w:rPr>
      </w:pPr>
      <w:r>
        <w:t>6.10.3 Decision-Curve Analysis and Practical Significance</w:t>
        <w:tab/>
        <w:t>61</w:t>
      </w:r>
    </w:p>
    <w:p w14:paraId="1B765C28" w14:textId="77777777" w:rsidR="00FD5D21" w:rsidRDefault="00FD5D21">
      <w:pPr>
        <w:pStyle w:val="TOC3"/>
        <w:tabs>
          <w:tab w:val="right" w:leader="dot" w:pos="8495"/>
        </w:tabs>
        <w:rPr>
          <w:noProof/>
        </w:rPr>
      </w:pPr>
      <w:r>
        <w:t>6.10.4 Pre-Specified Predictions</w:t>
        <w:tab/>
        <w:t>61</w:t>
      </w:r>
    </w:p>
    <w:p w14:paraId="26BA23DA" w14:textId="77777777" w:rsidR="00FD5D21" w:rsidRDefault="00FD5D21">
      <w:pPr>
        <w:pStyle w:val="TOC3"/>
        <w:tabs>
          <w:tab w:val="right" w:leader="dot" w:pos="8495"/>
        </w:tabs>
        <w:rPr>
          <w:noProof/>
        </w:rPr>
      </w:pPr>
      <w:r>
        <w:t>6.10.5 Provisional Estimates from the Existing Datasets</w:t>
        <w:tab/>
        <w:t>61</w:t>
      </w:r>
    </w:p>
    <w:p w14:paraId="4DFE3A4F" w14:textId="77777777" w:rsidR="00FD5D21" w:rsidRDefault="00FD5D21">
      <w:pPr>
        <w:pStyle w:val="TOC2"/>
        <w:tabs>
          <w:tab w:val="right" w:leader="dot" w:pos="8495"/>
        </w:tabs>
        <w:rPr>
          <w:noProof/>
        </w:rPr>
      </w:pPr>
      <w:r>
        <w:t>6.11 Consolidated Statistical Results</w:t>
        <w:tab/>
        <w:t>62</w:t>
      </w:r>
    </w:p>
    <w:p w14:paraId="2D0FD9EB" w14:textId="77777777" w:rsidR="00FD5D21" w:rsidRDefault="00FD5D21">
      <w:pPr>
        <w:pStyle w:val="TOC1"/>
        <w:tabs>
          <w:tab w:val="right" w:leader="dot" w:pos="8495"/>
        </w:tabs>
        <w:rPr>
          <w:noProof/>
        </w:rPr>
      </w:pPr>
      <w:r>
        <w:t>Chapter 7 Discussion: Adaptive Learning as the Behavioural-Change Driver</w:t>
        <w:tab/>
        <w:t>64</w:t>
      </w:r>
    </w:p>
    <w:p w14:paraId="5427D174" w14:textId="77777777" w:rsidR="00FD5D21" w:rsidRDefault="00FD5D21">
      <w:pPr>
        <w:pStyle w:val="TOC2"/>
        <w:tabs>
          <w:tab w:val="right" w:leader="dot" w:pos="8495"/>
        </w:tabs>
        <w:rPr>
          <w:noProof/>
        </w:rPr>
      </w:pPr>
      <w:r>
        <w:t>7.1 Why the Empirical Programme Forces Adaptive Learning</w:t>
        <w:tab/>
        <w:t>64</w:t>
      </w:r>
    </w:p>
    <w:p w14:paraId="169B3B1D" w14:textId="77777777" w:rsidR="00FD5D21" w:rsidRDefault="00FD5D21">
      <w:pPr>
        <w:pStyle w:val="TOC2"/>
        <w:tabs>
          <w:tab w:val="right" w:leader="dot" w:pos="8495"/>
        </w:tabs>
        <w:rPr>
          <w:noProof/>
        </w:rPr>
      </w:pPr>
      <w:r>
        <w:t>7.2 Adaptive Learning in the Gamification Literature</w:t>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tab/>
        <w:t>65</w:t>
      </w:r>
    </w:p>
    <w:p w14:paraId="5BBE227D" w14:textId="77777777" w:rsidR="00FD5D21" w:rsidRDefault="00FD5D21">
      <w:pPr>
        <w:pStyle w:val="TOC2"/>
        <w:tabs>
          <w:tab w:val="right" w:leader="dot" w:pos="8495"/>
        </w:tabs>
        <w:rPr>
          <w:noProof/>
        </w:rPr>
      </w:pPr>
      <w:r>
        <w:t>7.4 Formalising the Discovery: The Adaptive-Learning Framework</w:t>
        <w:tab/>
        <w:t>65</w:t>
      </w:r>
    </w:p>
    <w:p w14:paraId="283DF193" w14:textId="77777777" w:rsidR="00FD5D21" w:rsidRDefault="00FD5D21">
      <w:pPr>
        <w:pStyle w:val="TOC2"/>
        <w:tabs>
          <w:tab w:val="right" w:leader="dot" w:pos="8495"/>
        </w:tabs>
        <w:rPr>
          <w:noProof/>
        </w:rPr>
      </w:pPr>
      <w:r>
        <w:t>7.5 Prototype Stack: Engineering-Actionable Implementation</w:t>
        <w:tab/>
        <w:t>66</w:t>
      </w:r>
    </w:p>
    <w:p w14:paraId="6B6957E9" w14:textId="77777777" w:rsidR="00FD5D21" w:rsidRDefault="00FD5D21">
      <w:pPr>
        <w:pStyle w:val="TOC3"/>
        <w:tabs>
          <w:tab w:val="right" w:leader="dot" w:pos="8495"/>
        </w:tabs>
        <w:rPr>
          <w:noProof/>
        </w:rPr>
      </w:pPr>
      <w:r>
        <w:t>7.5.1 Reference Stack</w:t>
        <w:tab/>
        <w:t>66</w:t>
      </w:r>
    </w:p>
    <w:p w14:paraId="435E78BC" w14:textId="77777777" w:rsidR="00FD5D21" w:rsidRDefault="00FD5D21">
      <w:pPr>
        <w:pStyle w:val="TOC3"/>
        <w:tabs>
          <w:tab w:val="right" w:leader="dot" w:pos="8495"/>
        </w:tabs>
        <w:rPr>
          <w:noProof/>
        </w:rPr>
      </w:pPr>
      <w:r>
        <w:t>7.5.2 Trajectory Visualisation Specification</w:t>
        <w:tab/>
        <w:t>68</w:t>
      </w:r>
    </w:p>
    <w:p w14:paraId="1A4A9E23" w14:textId="77777777" w:rsidR="00FD5D21" w:rsidRDefault="00FD5D21">
      <w:pPr>
        <w:pStyle w:val="TOC3"/>
        <w:tabs>
          <w:tab w:val="right" w:leader="dot" w:pos="8495"/>
        </w:tabs>
        <w:rPr>
          <w:noProof/>
        </w:rPr>
      </w:pPr>
      <w:r>
        <w:t>7.5.3 Coaching Protocol Specification</w:t>
        <w:tab/>
        <w:t>68</w:t>
      </w:r>
    </w:p>
    <w:p>
      <w:pPr>
        <w:pStyle w:val="TOC2"/>
      </w:pPr>
      <w:r>
        <w:t>7.5A One Architecture: Phenomenon, Principles, Engine</w:t>
        <w:tab/>
        <w:t>69</w:t>
      </w:r>
    </w:p>
    <w:p w14:paraId="3BA17663" w14:textId="77777777" w:rsidR="00FD5D21" w:rsidRDefault="00FD5D21">
      <w:pPr>
        <w:pStyle w:val="TOC2"/>
        <w:tabs>
          <w:tab w:val="right" w:leader="dot" w:pos="8495"/>
        </w:tabs>
        <w:rPr>
          <w:noProof/>
        </w:rPr>
      </w:pPr>
      <w:r>
        <w:t>7.6 Applied Case Studies</w:t>
        <w:tab/>
        <w:t>69</w:t>
      </w:r>
    </w:p>
    <w:p w14:paraId="3C478D5B" w14:textId="77777777" w:rsidR="00FD5D21" w:rsidRDefault="00FD5D21">
      <w:pPr>
        <w:pStyle w:val="TOC3"/>
        <w:tabs>
          <w:tab w:val="right" w:leader="dot" w:pos="8495"/>
        </w:tabs>
        <w:rPr>
          <w:noProof/>
        </w:rPr>
      </w:pPr>
      <w:r>
        <w:t>7.6.1 Case Study A — FRA Reaction Mode (in development)</w:t>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tab/>
        <w:t>69</w:t>
      </w:r>
    </w:p>
    <w:p w14:paraId="3ABF7E46" w14:textId="77777777" w:rsidR="00FD5D21" w:rsidRDefault="00FD5D21">
      <w:pPr>
        <w:pStyle w:val="TOC3"/>
        <w:tabs>
          <w:tab w:val="right" w:leader="dot" w:pos="8495"/>
        </w:tabs>
        <w:rPr>
          <w:noProof/>
        </w:rPr>
      </w:pPr>
      <w:r>
        <w:t>7.6.3 Case Study C — Sleep Tracker reframed as an Adventure Log (illustrative)</w:t>
        <w:tab/>
        <w:t>69</w:t>
      </w:r>
    </w:p>
    <w:p w14:paraId="5F5C0F68" w14:textId="77777777" w:rsidR="00FD5D21" w:rsidRDefault="00FD5D21">
      <w:pPr>
        <w:pStyle w:val="TOC3"/>
        <w:tabs>
          <w:tab w:val="right" w:leader="dot" w:pos="8495"/>
        </w:tabs>
        <w:rPr>
          <w:noProof/>
        </w:rPr>
      </w:pPr>
      <w:r>
        <w:t>7.6.4 Cross-Case Synthesis</w:t>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tab/>
        <w:t>70</w:t>
      </w:r>
    </w:p>
    <w:p w14:paraId="355BF347" w14:textId="77777777" w:rsidR="00FD5D21" w:rsidRDefault="00FD5D21">
      <w:pPr>
        <w:pStyle w:val="TOC2"/>
        <w:tabs>
          <w:tab w:val="right" w:leader="dot" w:pos="8495"/>
        </w:tabs>
        <w:rPr>
          <w:noProof/>
        </w:rPr>
      </w:pPr>
      <w:r>
        <w:t>7.7 Boundary Conditions and Risks</w:t>
        <w:tab/>
        <w:t>71</w:t>
      </w:r>
    </w:p>
    <w:p w14:paraId="2390C070" w14:textId="77777777" w:rsidR="00FD5D21" w:rsidRDefault="00FD5D21">
      <w:pPr>
        <w:pStyle w:val="TOC2"/>
        <w:tabs>
          <w:tab w:val="right" w:leader="dot" w:pos="8495"/>
        </w:tabs>
        <w:rPr>
          <w:noProof/>
        </w:rPr>
      </w:pPr>
      <w:r>
        <w:t>7.8 Sequencing of the Three Principles</w:t>
        <w:tab/>
        <w:t>72</w:t>
      </w:r>
    </w:p>
    <w:p w14:paraId="033353C5" w14:textId="77777777" w:rsidR="00FD5D21" w:rsidRDefault="00FD5D21">
      <w:pPr>
        <w:pStyle w:val="TOC2"/>
        <w:tabs>
          <w:tab w:val="right" w:leader="dot" w:pos="8495"/>
        </w:tabs>
        <w:rPr>
          <w:noProof/>
        </w:rPr>
      </w:pPr>
      <w:r>
        <w:t>7.9 Adaptive Learning as Continuous Improvement: Closing the Loop to the EngD Topic</w:t>
        <w:tab/>
        <w:t>72</w:t>
      </w:r>
    </w:p>
    <w:p w14:paraId="63216031" w14:textId="77777777" w:rsidR="00FD5D21" w:rsidRDefault="00FD5D21">
      <w:pPr>
        <w:pStyle w:val="TOC1"/>
        <w:tabs>
          <w:tab w:val="right" w:leader="dot" w:pos="8495"/>
        </w:tabs>
        <w:rPr>
          <w:noProof/>
        </w:rPr>
      </w:pPr>
      <w:r>
        <w:t>Chapter 8 Contributions, Alternative Explanations, Limitations and Ethics</w:t>
        <w:tab/>
        <w:t>74</w:t>
      </w:r>
    </w:p>
    <w:p w14:paraId="1274176A" w14:textId="77777777" w:rsidR="00FD5D21" w:rsidRDefault="00FD5D21">
      <w:pPr>
        <w:pStyle w:val="TOC2"/>
        <w:tabs>
          <w:tab w:val="right" w:leader="dot" w:pos="8495"/>
        </w:tabs>
        <w:rPr>
          <w:noProof/>
        </w:rPr>
      </w:pPr>
      <w:r>
        <w:t>8.1 Theoretical Contributions</w:t>
        <w:tab/>
        <w:t>74</w:t>
      </w:r>
    </w:p>
    <w:p w14:paraId="0AB2FF4C" w14:textId="77777777" w:rsidR="00FD5D21" w:rsidRDefault="00FD5D21">
      <w:pPr>
        <w:pStyle w:val="TOC2"/>
        <w:tabs>
          <w:tab w:val="right" w:leader="dot" w:pos="8495"/>
        </w:tabs>
        <w:rPr>
          <w:noProof/>
        </w:rPr>
      </w:pPr>
      <w:r>
        <w:t>8.2 Methodological Contributions</w:t>
        <w:tab/>
        <w:t>74</w:t>
      </w:r>
    </w:p>
    <w:p w14:paraId="0FF8CC85" w14:textId="77777777" w:rsidR="00FD5D21" w:rsidRDefault="00FD5D21">
      <w:pPr>
        <w:pStyle w:val="TOC2"/>
        <w:tabs>
          <w:tab w:val="right" w:leader="dot" w:pos="8495"/>
        </w:tabs>
        <w:rPr>
          <w:noProof/>
        </w:rPr>
      </w:pPr>
      <w:r>
        <w:t>8.3 Empirical Contributions</w:t>
        <w:tab/>
        <w:t>74</w:t>
      </w:r>
    </w:p>
    <w:p w14:paraId="56CACFD9" w14:textId="77777777" w:rsidR="00FD5D21" w:rsidRDefault="00FD5D21">
      <w:pPr>
        <w:pStyle w:val="TOC2"/>
        <w:tabs>
          <w:tab w:val="right" w:leader="dot" w:pos="8495"/>
        </w:tabs>
        <w:rPr>
          <w:noProof/>
        </w:rPr>
      </w:pPr>
      <w:r>
        <w:t>8.4 Industrial and Practical Contributions</w:t>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tab/>
        <w:t>75</w:t>
      </w:r>
    </w:p>
    <w:p w14:paraId="0AE11FEA" w14:textId="77777777" w:rsidR="00FD5D21" w:rsidRDefault="00FD5D21">
      <w:pPr>
        <w:pStyle w:val="TOC2"/>
        <w:tabs>
          <w:tab w:val="right" w:leader="dot" w:pos="8495"/>
        </w:tabs>
        <w:rPr>
          <w:noProof/>
        </w:rPr>
      </w:pPr>
      <w:r>
        <w:t>8.5 Alternative Explanations</w:t>
        <w:tab/>
        <w:t>76</w:t>
      </w:r>
    </w:p>
    <w:p w14:paraId="7992096E" w14:textId="77777777" w:rsidR="00FD5D21" w:rsidRDefault="00FD5D21">
      <w:pPr>
        <w:pStyle w:val="TOC3"/>
        <w:tabs>
          <w:tab w:val="right" w:leader="dot" w:pos="8495"/>
        </w:tabs>
        <w:rPr>
          <w:noProof/>
        </w:rPr>
      </w:pPr>
      <w:r>
        <w:t>8.5.1 Cohort Self-Selection</w:t>
        <w:tab/>
        <w:t>76</w:t>
      </w:r>
    </w:p>
    <w:p w14:paraId="7280AE5A" w14:textId="77777777" w:rsidR="00FD5D21" w:rsidRDefault="00FD5D21">
      <w:pPr>
        <w:pStyle w:val="TOC3"/>
        <w:tabs>
          <w:tab w:val="right" w:leader="dot" w:pos="8495"/>
        </w:tabs>
        <w:rPr>
          <w:noProof/>
        </w:rPr>
      </w:pPr>
      <w:r>
        <w:t>8.5.2 Novelty Effect</w:t>
        <w:tab/>
        <w:t>76</w:t>
      </w:r>
    </w:p>
    <w:p w14:paraId="4DADBA64" w14:textId="77777777" w:rsidR="00FD5D21" w:rsidRDefault="00FD5D21">
      <w:pPr>
        <w:pStyle w:val="TOC3"/>
        <w:tabs>
          <w:tab w:val="right" w:leader="dot" w:pos="8495"/>
        </w:tabs>
        <w:rPr>
          <w:noProof/>
        </w:rPr>
      </w:pPr>
      <w:r>
        <w:t>8.5.3 Demand Characteristics and Hawthorne Effect</w:t>
        <w:tab/>
        <w:t>76</w:t>
      </w:r>
    </w:p>
    <w:p w14:paraId="1CD4665F" w14:textId="77777777" w:rsidR="00FD5D21" w:rsidRDefault="00FD5D21">
      <w:pPr>
        <w:pStyle w:val="TOC3"/>
        <w:tabs>
          <w:tab w:val="right" w:leader="dot" w:pos="8495"/>
        </w:tabs>
        <w:rPr>
          <w:noProof/>
        </w:rPr>
      </w:pPr>
      <w:r>
        <w:t>8.5.4 Regression to the Mean</w:t>
        <w:tab/>
        <w:t>76</w:t>
      </w:r>
    </w:p>
    <w:p w14:paraId="1B680E66" w14:textId="77777777" w:rsidR="00FD5D21" w:rsidRDefault="00FD5D21">
      <w:pPr>
        <w:pStyle w:val="TOC3"/>
        <w:tabs>
          <w:tab w:val="right" w:leader="dot" w:pos="8495"/>
        </w:tabs>
        <w:rPr>
          <w:noProof/>
        </w:rPr>
      </w:pPr>
      <w:r>
        <w:t>8.5.5 Physical Fatigue and Motor-Learning Limits</w:t>
        <w:tab/>
        <w:t>77</w:t>
      </w:r>
    </w:p>
    <w:p w14:paraId="01FD2844" w14:textId="77777777" w:rsidR="00FD5D21" w:rsidRDefault="00FD5D21">
      <w:pPr>
        <w:pStyle w:val="TOC3"/>
        <w:tabs>
          <w:tab w:val="right" w:leader="dot" w:pos="8495"/>
        </w:tabs>
        <w:rPr>
          <w:noProof/>
        </w:rPr>
      </w:pPr>
      <w:r>
        <w:t>8.5.6 Language and Literacy Confounds</w:t>
        <w:tab/>
        <w:t>77</w:t>
      </w:r>
    </w:p>
    <w:p w14:paraId="67FE5792" w14:textId="77777777" w:rsidR="00FD5D21" w:rsidRDefault="00FD5D21">
      <w:pPr>
        <w:pStyle w:val="TOC3"/>
        <w:tabs>
          <w:tab w:val="right" w:leader="dot" w:pos="8495"/>
        </w:tabs>
        <w:rPr>
          <w:noProof/>
        </w:rPr>
      </w:pPr>
      <w:r>
        <w:t>8.5.7 Mechanism-Aspecific Just-Better-Design Alternative</w:t>
        <w:tab/>
        <w:t>77</w:t>
      </w:r>
    </w:p>
    <w:p w14:paraId="237275F4" w14:textId="77777777" w:rsidR="00FD5D21" w:rsidRDefault="00FD5D21">
      <w:pPr>
        <w:pStyle w:val="TOC2"/>
        <w:tabs>
          <w:tab w:val="right" w:leader="dot" w:pos="8495"/>
        </w:tabs>
        <w:rPr>
          <w:noProof/>
        </w:rPr>
      </w:pPr>
      <w:r>
        <w:t>8.6 Limitations</w:t>
        <w:tab/>
        <w:t>77</w:t>
      </w:r>
    </w:p>
    <w:p w14:paraId="7923CA0F" w14:textId="77777777" w:rsidR="00FD5D21" w:rsidRDefault="00FD5D21">
      <w:pPr>
        <w:pStyle w:val="TOC2"/>
        <w:tabs>
          <w:tab w:val="right" w:leader="dot" w:pos="8495"/>
        </w:tabs>
        <w:rPr>
          <w:noProof/>
        </w:rPr>
      </w:pPr>
      <w:r>
        <w:t>8.6A A Seventh Limitation: The Language-Mode Boundary of the Layer-2 AI</w:t>
        <w:tab/>
        <w:t>78</w:t>
      </w:r>
    </w:p>
    <w:p>
      <w:pPr>
        <w:pStyle w:val="TOC2"/>
      </w:pPr>
      <w:r>
        <w:t>8.6B Extending the Unit of Analysis: Abandonment as a Three-Party Decision</w:t>
      </w:r>
    </w:p>
    <w:p w14:paraId="6D0B9908" w14:textId="77777777" w:rsidR="00FD5D21" w:rsidRDefault="00FD5D21">
      <w:pPr>
        <w:pStyle w:val="TOC2"/>
        <w:tabs>
          <w:tab w:val="right" w:leader="dot" w:pos="8495"/>
        </w:tabs>
        <w:rPr>
          <w:noProof/>
        </w:rPr>
      </w:pPr>
      <w:r>
        <w:t>8.7 Ethical Considerations</w:t>
        <w:tab/>
        <w:t>78</w:t>
      </w:r>
    </w:p>
    <w:p w14:paraId="70FAC436" w14:textId="77777777" w:rsidR="00FD5D21" w:rsidRDefault="00FD5D21">
      <w:pPr>
        <w:pStyle w:val="TOC3"/>
        <w:tabs>
          <w:tab w:val="right" w:leader="dot" w:pos="8495"/>
        </w:tabs>
        <w:rPr>
          <w:noProof/>
        </w:rPr>
      </w:pPr>
      <w:r>
        <w:t>8.7.1 Vulnerability of Frail Older Adults</w:t>
        <w:tab/>
        <w:t>78</w:t>
      </w:r>
    </w:p>
    <w:p w14:paraId="5F4632A4" w14:textId="77777777" w:rsidR="00FD5D21" w:rsidRDefault="00FD5D21">
      <w:pPr>
        <w:pStyle w:val="TOC3"/>
        <w:tabs>
          <w:tab w:val="right" w:leader="dot" w:pos="8495"/>
        </w:tabs>
        <w:rPr>
          <w:noProof/>
        </w:rPr>
      </w:pPr>
      <w:r>
        <w:t>8.7.2 Decoupling and the Deception Question</w:t>
        <w:tab/>
        <w:t>79</w:t>
      </w:r>
    </w:p>
    <w:p w14:paraId="2311B47E" w14:textId="77777777" w:rsidR="00FD5D21" w:rsidRDefault="00FD5D21">
      <w:pPr>
        <w:pStyle w:val="TOC3"/>
        <w:tabs>
          <w:tab w:val="right" w:leader="dot" w:pos="8495"/>
        </w:tabs>
        <w:rPr>
          <w:noProof/>
        </w:rPr>
      </w:pPr>
      <w:r>
        <w:t>8.7.3 Autonomy, Dignity and the Right Not to Engage</w:t>
        <w:tab/>
        <w:t>79</w:t>
      </w:r>
    </w:p>
    <w:p w14:paraId="7946035C" w14:textId="77777777" w:rsidR="00FD5D21" w:rsidRDefault="00FD5D21">
      <w:pPr>
        <w:pStyle w:val="TOC3"/>
        <w:tabs>
          <w:tab w:val="right" w:leader="dot" w:pos="8495"/>
        </w:tabs>
        <w:rPr>
          <w:noProof/>
        </w:rPr>
      </w:pPr>
      <w:r>
        <w:t>8.7.4 Equity, Access and Deployment Risks</w:t>
        <w:tab/>
        <w:t>79</w:t>
      </w:r>
    </w:p>
    <w:p w14:paraId="0DFBEC77" w14:textId="77777777" w:rsidR="00FD5D21" w:rsidRDefault="00FD5D21">
      <w:pPr>
        <w:pStyle w:val="TOC3"/>
        <w:tabs>
          <w:tab w:val="right" w:leader="dot" w:pos="8495"/>
        </w:tabs>
        <w:rPr>
          <w:noProof/>
        </w:rPr>
      </w:pPr>
      <w:r>
        <w:lastRenderedPageBreak/>
        <w:t>8.7.5 Embedded Researcher Bias</w:t>
        <w:tab/>
        <w:t>79</w:t>
      </w:r>
    </w:p>
    <w:p w14:paraId="14AB5771" w14:textId="77777777" w:rsidR="00FD5D21" w:rsidRDefault="00FD5D21">
      <w:pPr>
        <w:pStyle w:val="TOC2"/>
        <w:tabs>
          <w:tab w:val="right" w:leader="dot" w:pos="8495"/>
        </w:tabs>
        <w:rPr>
          <w:noProof/>
        </w:rPr>
      </w:pPr>
      <w:r>
        <w:t>8.8 Future Research</w:t>
        <w:tab/>
        <w:t>80</w:t>
      </w:r>
    </w:p>
    <w:p w14:paraId="0C464519" w14:textId="77777777" w:rsidR="00FD5D21" w:rsidRDefault="00FD5D21">
      <w:pPr>
        <w:pStyle w:val="TOC2"/>
        <w:tabs>
          <w:tab w:val="right" w:leader="dot" w:pos="8495"/>
        </w:tabs>
        <w:rPr>
          <w:noProof/>
        </w:rPr>
      </w:pPr>
      <w:r>
        <w:t>8.9 Reproducibility and Data Availability</w:t>
        <w:tab/>
        <w:t>80</w:t>
      </w:r>
    </w:p>
    <w:p w14:paraId="7ED588A6" w14:textId="77777777" w:rsidR="00FD5D21" w:rsidRDefault="00FD5D21">
      <w:pPr>
        <w:pStyle w:val="TOC1"/>
        <w:tabs>
          <w:tab w:val="right" w:leader="dot" w:pos="8495"/>
        </w:tabs>
        <w:rPr>
          <w:noProof/>
        </w:rPr>
      </w:pPr>
      <w:r>
        <w:t>Chapter 9 Conclusion</w:t>
        <w:tab/>
        <w:t>82</w:t>
      </w:r>
    </w:p>
    <w:p w14:paraId="60E84DD3" w14:textId="77777777" w:rsidR="00FD5D21" w:rsidRDefault="00FD5D21">
      <w:pPr>
        <w:pStyle w:val="TOC2"/>
        <w:tabs>
          <w:tab w:val="right" w:leader="dot" w:pos="8495"/>
        </w:tabs>
        <w:rPr>
          <w:noProof/>
        </w:rPr>
      </w:pPr>
      <w:r>
        <w:t>9.1 What This Programme Set Out to Do</w:t>
        <w:tab/>
        <w:t>82</w:t>
      </w:r>
    </w:p>
    <w:p w14:paraId="4AFE8BB7" w14:textId="77777777" w:rsidR="00FD5D21" w:rsidRDefault="00FD5D21">
      <w:pPr>
        <w:pStyle w:val="TOC2"/>
        <w:tabs>
          <w:tab w:val="right" w:leader="dot" w:pos="8495"/>
        </w:tabs>
        <w:rPr>
          <w:noProof/>
        </w:rPr>
      </w:pPr>
      <w:r>
        <w:t>9.2 The Three-Stage Empirical Arc</w:t>
        <w:tab/>
        <w:t>82</w:t>
      </w:r>
    </w:p>
    <w:p w14:paraId="2242D32F" w14:textId="77777777" w:rsidR="00FD5D21" w:rsidRDefault="00FD5D21">
      <w:pPr>
        <w:pStyle w:val="TOC2"/>
        <w:tabs>
          <w:tab w:val="right" w:leader="dot" w:pos="8495"/>
        </w:tabs>
        <w:rPr>
          <w:noProof/>
        </w:rPr>
      </w:pPr>
      <w:r>
        <w:t>9.3 The Central Finding: Evidence Consistent with a Coupling or Framing Effect</w:t>
        <w:tab/>
        <w:t>83</w:t>
      </w:r>
    </w:p>
    <w:p w14:paraId="78AC7488" w14:textId="77777777" w:rsidR="00FD5D21" w:rsidRDefault="00FD5D21">
      <w:pPr>
        <w:pStyle w:val="TOC2"/>
        <w:tabs>
          <w:tab w:val="right" w:leader="dot" w:pos="8495"/>
        </w:tabs>
        <w:rPr>
          <w:noProof/>
        </w:rPr>
      </w:pPr>
      <w:r>
        <w:t>9.4 Decoupling Preserves the Viability of Game Theory for Elderly Engagement</w:t>
        <w:tab/>
        <w:t>84</w:t>
      </w:r>
    </w:p>
    <w:p w14:paraId="0AFF8A08" w14:textId="77777777" w:rsidR="00FD5D21" w:rsidRDefault="00FD5D21">
      <w:pPr>
        <w:pStyle w:val="TOC2"/>
        <w:tabs>
          <w:tab w:val="right" w:leader="dot" w:pos="8495"/>
        </w:tabs>
        <w:rPr>
          <w:noProof/>
        </w:rPr>
      </w:pPr>
      <w:r>
        <w:t>9.5 Adaptive Learning as the Design Counter</w:t>
        <w:tab/>
        <w:t>84</w:t>
      </w:r>
    </w:p>
    <w:p w14:paraId="085F1BB8" w14:textId="77777777" w:rsidR="00FD5D21" w:rsidRDefault="00FD5D21">
      <w:pPr>
        <w:pStyle w:val="TOC2"/>
        <w:tabs>
          <w:tab w:val="right" w:leader="dot" w:pos="8495"/>
        </w:tabs>
        <w:rPr>
          <w:noProof/>
        </w:rPr>
      </w:pPr>
      <w:r>
        <w:t>9.6 Competing Appraisal Regimes: Endowment Protection and Learning Trajectory</w:t>
        <w:tab/>
        <w:t>85</w:t>
      </w:r>
    </w:p>
    <w:p w14:paraId="43B707E8" w14:textId="77777777" w:rsidR="00FD5D21" w:rsidRDefault="00FD5D21">
      <w:pPr>
        <w:pStyle w:val="TOC2"/>
        <w:tabs>
          <w:tab w:val="right" w:leader="dot" w:pos="8495"/>
        </w:tabs>
        <w:rPr>
          <w:noProof/>
        </w:rPr>
      </w:pPr>
      <w:r>
        <w:t>9.7 Theoretical Contributions</w:t>
        <w:tab/>
        <w:t>85</w:t>
      </w:r>
    </w:p>
    <w:p w14:paraId="5FB7339C" w14:textId="77777777" w:rsidR="00FD5D21" w:rsidRDefault="00FD5D21">
      <w:pPr>
        <w:pStyle w:val="TOC2"/>
        <w:tabs>
          <w:tab w:val="right" w:leader="dot" w:pos="8495"/>
        </w:tabs>
        <w:rPr>
          <w:noProof/>
        </w:rPr>
      </w:pPr>
      <w:r>
        <w:t>9.8 Practical Contributions for Industry and Practice</w:t>
        <w:tab/>
        <w:t>86</w:t>
      </w:r>
    </w:p>
    <w:p w14:paraId="1243C9D5" w14:textId="77777777" w:rsidR="00FD5D21" w:rsidRDefault="00FD5D21">
      <w:pPr>
        <w:pStyle w:val="TOC2"/>
        <w:tabs>
          <w:tab w:val="right" w:leader="dot" w:pos="8495"/>
        </w:tabs>
        <w:rPr>
          <w:noProof/>
        </w:rPr>
      </w:pPr>
      <w:r>
        <w:t>9.8A A Secondary Contribution to Gamification: Agentic-AI-Driven Dynamic Game States</w:t>
        <w:tab/>
        <w:t>86</w:t>
      </w:r>
    </w:p>
    <w:p w14:paraId="4DA2A1E8" w14:textId="77777777" w:rsidR="00FD5D21" w:rsidRDefault="00FD5D21">
      <w:pPr>
        <w:pStyle w:val="TOC2"/>
        <w:tabs>
          <w:tab w:val="right" w:leader="dot" w:pos="8495"/>
        </w:tabs>
        <w:rPr>
          <w:noProof/>
        </w:rPr>
      </w:pPr>
      <w:r>
        <w:t>9.8B Future Research Proposition: From Telemetry-Conditioned to Person-Conditioned Adaptation</w:t>
        <w:tab/>
        <w:t>87</w:t>
      </w:r>
    </w:p>
    <w:p w14:paraId="732A1D97" w14:textId="77777777" w:rsidR="00FD5D21" w:rsidRDefault="00FD5D21">
      <w:pPr>
        <w:pStyle w:val="TOC2"/>
        <w:tabs>
          <w:tab w:val="right" w:leader="dot" w:pos="8495"/>
        </w:tabs>
        <w:rPr>
          <w:noProof/>
        </w:rPr>
      </w:pPr>
      <w:r>
        <w:t>9.8C Bounded Implications for AI Evaluation</w:t>
        <w:tab/>
        <w:t>88</w:t>
      </w:r>
    </w:p>
    <w:p w14:paraId="31BE21AB" w14:textId="77777777" w:rsidR="00FD5D21" w:rsidRDefault="00FD5D21">
      <w:pPr>
        <w:pStyle w:val="TOC3"/>
        <w:tabs>
          <w:tab w:val="right" w:leader="dot" w:pos="8495"/>
        </w:tabs>
        <w:rPr>
          <w:noProof/>
        </w:rPr>
      </w:pPr>
      <w:r>
        <w:t>From Language-Rendered Telemetry to Grounded Sensing</w:t>
        <w:tab/>
        <w:t>88</w:t>
      </w:r>
    </w:p>
    <w:p w14:paraId="661E61AE" w14:textId="77777777" w:rsidR="00FD5D21" w:rsidRDefault="00FD5D21">
      <w:pPr>
        <w:pStyle w:val="TOC3"/>
        <w:tabs>
          <w:tab w:val="right" w:leader="dot" w:pos="8495"/>
        </w:tabs>
        <w:rPr>
          <w:noProof/>
        </w:rPr>
      </w:pPr>
      <w:r>
        <w:t>Perception-Action Loops as an Engineering Extension</w:t>
        <w:tab/>
        <w:t>89</w:t>
      </w:r>
    </w:p>
    <w:p w14:paraId="369631C5" w14:textId="77777777" w:rsidR="00FD5D21" w:rsidRDefault="00FD5D21">
      <w:pPr>
        <w:pStyle w:val="TOC3"/>
        <w:tabs>
          <w:tab w:val="right" w:leader="dot" w:pos="8495"/>
        </w:tabs>
        <w:rPr>
          <w:noProof/>
        </w:rPr>
      </w:pPr>
      <w:r>
        <w:t>Adaptive Learning as a Testable System Hypothesis</w:t>
        <w:tab/>
        <w:t>89</w:t>
      </w:r>
    </w:p>
    <w:p w14:paraId="3B001913" w14:textId="77777777" w:rsidR="00FD5D21" w:rsidRDefault="00FD5D21">
      <w:pPr>
        <w:pStyle w:val="TOC3"/>
        <w:tabs>
          <w:tab w:val="right" w:leader="dot" w:pos="8495"/>
        </w:tabs>
        <w:rPr>
          <w:noProof/>
        </w:rPr>
      </w:pPr>
      <w:r>
        <w:t>Implications for Broader AI Research</w:t>
        <w:tab/>
        <w:t>91</w:t>
      </w:r>
    </w:p>
    <w:p w14:paraId="0DCEC4D3" w14:textId="77777777" w:rsidR="00FD5D21" w:rsidRDefault="00FD5D21">
      <w:pPr>
        <w:pStyle w:val="TOC3"/>
        <w:tabs>
          <w:tab w:val="right" w:leader="dot" w:pos="8495"/>
        </w:tabs>
        <w:rPr>
          <w:noProof/>
        </w:rPr>
      </w:pPr>
      <w:r>
        <w:t>Proposed Evaluation Criteria for Human-Adaptive Systems</w:t>
        <w:tab/>
        <w:t>91</w:t>
      </w:r>
    </w:p>
    <w:p w14:paraId="50617ABD" w14:textId="77777777" w:rsidR="00FD5D21" w:rsidRDefault="00FD5D21">
      <w:pPr>
        <w:pStyle w:val="TOC2"/>
        <w:tabs>
          <w:tab w:val="right" w:leader="dot" w:pos="8495"/>
        </w:tabs>
        <w:rPr>
          <w:noProof/>
        </w:rPr>
      </w:pPr>
      <w:r>
        <w:t>9.9 Limits of What Has Been Shown</w:t>
        <w:tab/>
        <w:t>92</w:t>
      </w:r>
    </w:p>
    <w:p w14:paraId="46AE8551" w14:textId="77777777" w:rsidR="00FD5D21" w:rsidRDefault="00FD5D21">
      <w:pPr>
        <w:pStyle w:val="TOC2"/>
        <w:tabs>
          <w:tab w:val="right" w:leader="dot" w:pos="8495"/>
        </w:tabs>
        <w:rPr>
          <w:noProof/>
        </w:rPr>
      </w:pPr>
      <w:r>
        <w:t>9.10 Natural Extensions</w:t>
        <w:tab/>
        <w:t>92</w:t>
      </w:r>
    </w:p>
    <w:p w14:paraId="303D5A68" w14:textId="77777777" w:rsidR="00FD5D21" w:rsidRDefault="00FD5D21">
      <w:pPr>
        <w:pStyle w:val="TOC2"/>
        <w:tabs>
          <w:tab w:val="right" w:leader="dot" w:pos="8495"/>
        </w:tabs>
        <w:rPr>
          <w:noProof/>
        </w:rPr>
      </w:pPr>
      <w:r>
        <w:t>9.11 Returning to the Three F4 Residents</w:t>
        <w:tab/>
        <w:t>92</w:t>
      </w:r>
    </w:p>
    <w:p w14:paraId="3CC2036D" w14:textId="77777777" w:rsidR="00FD5D21" w:rsidRDefault="00FD5D21">
      <w:pPr>
        <w:pStyle w:val="TOC2"/>
        <w:tabs>
          <w:tab w:val="right" w:leader="dot" w:pos="8495"/>
        </w:tabs>
        <w:rPr>
          <w:noProof/>
        </w:rPr>
      </w:pPr>
      <w:r>
        <w:t>9.12 Closing Synthesis</w:t>
        <w:tab/>
        <w:t>93</w:t>
      </w:r>
    </w:p>
    <w:p w14:paraId="7A0A368C" w14:textId="77777777" w:rsidR="00FD5D21" w:rsidRDefault="00FD5D21">
      <w:pPr>
        <w:pStyle w:val="TOC1"/>
        <w:tabs>
          <w:tab w:val="right" w:leader="dot" w:pos="8495"/>
        </w:tabs>
        <w:rPr>
          <w:noProof/>
        </w:rPr>
      </w:pPr>
      <w:r>
        <w:t>References</w:t>
        <w:tab/>
        <w:t>94</w:t>
      </w:r>
    </w:p>
    <w:p w14:paraId="74DBA3C6" w14:textId="77777777" w:rsidR="00FD5D21" w:rsidRDefault="00FD5D21">
      <w:pPr>
        <w:pStyle w:val="TOC1"/>
        <w:tabs>
          <w:tab w:val="right" w:leader="dot" w:pos="8495"/>
        </w:tabs>
        <w:rPr>
          <w:noProof/>
        </w:rPr>
      </w:pPr>
      <w:r>
        <w:lastRenderedPageBreak/>
        <w:t>Appendices</w:t>
        <w:tab/>
        <w:t>101</w:t>
      </w:r>
    </w:p>
    <w:p w14:paraId="2926D9FE" w14:textId="77777777" w:rsidR="00FD5D21" w:rsidRDefault="00FD5D21">
      <w:pPr>
        <w:pStyle w:val="TOC2"/>
        <w:tabs>
          <w:tab w:val="right" w:leader="dot" w:pos="8495"/>
        </w:tabs>
        <w:rPr>
          <w:noProof/>
        </w:rPr>
      </w:pPr>
      <w:r>
        <w:t>Appendix A · Stage-1 Survey Instrument</w:t>
        <w:tab/>
        <w:t>102</w:t>
      </w:r>
    </w:p>
    <w:p w14:paraId="5285B0E0" w14:textId="77777777" w:rsidR="00FD5D21" w:rsidRDefault="00FD5D21">
      <w:pPr>
        <w:pStyle w:val="TOC3"/>
        <w:tabs>
          <w:tab w:val="right" w:leader="dot" w:pos="8495"/>
        </w:tabs>
        <w:rPr>
          <w:noProof/>
        </w:rPr>
      </w:pPr>
      <w:r>
        <w:t>A.1 · Survey Items</w:t>
        <w:tab/>
        <w:t>102</w:t>
      </w:r>
    </w:p>
    <w:p w14:paraId="6DDF65C7" w14:textId="77777777" w:rsidR="00FD5D21" w:rsidRDefault="00FD5D21">
      <w:pPr>
        <w:pStyle w:val="TOC2"/>
        <w:tabs>
          <w:tab w:val="right" w:leader="dot" w:pos="8495"/>
        </w:tabs>
        <w:rPr>
          <w:noProof/>
        </w:rPr>
      </w:pPr>
      <w:r>
        <w:t>Appendix B · Stage-2 FIAS Coding Scheme</w:t>
        <w:tab/>
        <w:t>103</w:t>
      </w:r>
    </w:p>
    <w:p w14:paraId="2E506C6B" w14:textId="77777777" w:rsidR="00FD5D21" w:rsidRDefault="00FD5D21">
      <w:pPr>
        <w:pStyle w:val="TOC2"/>
        <w:tabs>
          <w:tab w:val="right" w:leader="dot" w:pos="8495"/>
        </w:tabs>
        <w:rPr>
          <w:noProof/>
        </w:rPr>
      </w:pPr>
      <w:r>
        <w:t>Appendix C · Stage-2 F4 Interview Protocol</w:t>
        <w:tab/>
        <w:t>104</w:t>
      </w:r>
    </w:p>
    <w:p w14:paraId="5E5C18B7" w14:textId="77777777" w:rsidR="00FD5D21" w:rsidRDefault="00FD5D21">
      <w:pPr>
        <w:pStyle w:val="TOC3"/>
        <w:tabs>
          <w:tab w:val="right" w:leader="dot" w:pos="8495"/>
        </w:tabs>
        <w:rPr>
          <w:noProof/>
        </w:rPr>
      </w:pPr>
      <w:r>
        <w:t>C.1 · Question Set</w:t>
        <w:tab/>
        <w:t>104</w:t>
      </w:r>
    </w:p>
    <w:p w14:paraId="0E2D0823" w14:textId="77777777" w:rsidR="00FD5D21" w:rsidRDefault="00FD5D21">
      <w:pPr>
        <w:pStyle w:val="TOC2"/>
        <w:tabs>
          <w:tab w:val="right" w:leader="dot" w:pos="8495"/>
        </w:tabs>
        <w:rPr>
          <w:noProof/>
        </w:rPr>
      </w:pPr>
      <w:r>
        <w:t>Appendix D · Stage-3 Decoupling Questionnaire</w:t>
        <w:tab/>
        <w:t>105</w:t>
      </w:r>
    </w:p>
    <w:p w14:paraId="709DF084" w14:textId="77777777" w:rsidR="00FD5D21" w:rsidRDefault="00FD5D21">
      <w:pPr>
        <w:pStyle w:val="TOC3"/>
        <w:tabs>
          <w:tab w:val="right" w:leader="dot" w:pos="8495"/>
        </w:tabs>
        <w:rPr>
          <w:noProof/>
        </w:rPr>
      </w:pPr>
      <w:r>
        <w:t>D.1 · Post-Session Items</w:t>
        <w:tab/>
        <w:t>105</w:t>
      </w:r>
    </w:p>
    <w:p w14:paraId="7620F4EE" w14:textId="77777777" w:rsidR="00FD5D21" w:rsidRDefault="00FD5D21">
      <w:pPr>
        <w:pStyle w:val="TOC3"/>
        <w:tabs>
          <w:tab w:val="right" w:leader="dot" w:pos="8495"/>
        </w:tabs>
        <w:rPr>
          <w:noProof/>
        </w:rPr>
      </w:pPr>
      <w:r>
        <w:t>D.2 · Demographic Block (At Enrolment)</w:t>
        <w:tab/>
        <w:t>105</w:t>
      </w:r>
    </w:p>
    <w:p w14:paraId="69614DC3" w14:textId="77777777" w:rsidR="00FD5D21" w:rsidRDefault="00FD5D21">
      <w:pPr>
        <w:pStyle w:val="TOC2"/>
        <w:tabs>
          <w:tab w:val="right" w:leader="dot" w:pos="8495"/>
        </w:tabs>
        <w:rPr>
          <w:noProof/>
        </w:rPr>
      </w:pPr>
      <w:r>
        <w:t>Appendix E · Five-Layer Architecture and Adaptive-Learning Reference Stack</w:t>
        <w:tab/>
        <w:t>106</w:t>
      </w:r>
    </w:p>
    <w:p w14:paraId="54F1230E" w14:textId="77777777" w:rsidR="00FD5D21" w:rsidRDefault="00FD5D21">
      <w:pPr>
        <w:pStyle w:val="TOC3"/>
        <w:tabs>
          <w:tab w:val="right" w:leader="dot" w:pos="8495"/>
        </w:tabs>
        <w:rPr>
          <w:noProof/>
        </w:rPr>
      </w:pPr>
      <w:r>
        <w:t>E.1 · Layers L0–L4 (Stage-2 Operational)</w:t>
        <w:tab/>
        <w:t>106</w:t>
      </w:r>
    </w:p>
    <w:p w14:paraId="41DABB89" w14:textId="77777777" w:rsidR="00FD5D21" w:rsidRDefault="00FD5D21">
      <w:pPr>
        <w:pStyle w:val="TOC3"/>
        <w:tabs>
          <w:tab w:val="right" w:leader="dot" w:pos="8495"/>
        </w:tabs>
        <w:rPr>
          <w:noProof/>
        </w:rPr>
      </w:pPr>
      <w:r>
        <w:t>E.2 · Layers L5–L7 (Adaptive-Learning Reference Stack)</w:t>
        <w:tab/>
        <w:t>106</w:t>
      </w:r>
    </w:p>
    <w:p w14:paraId="7F593C60" w14:textId="77777777" w:rsidR="00FD5D21" w:rsidRDefault="00FD5D21">
      <w:pPr>
        <w:pStyle w:val="TOC3"/>
        <w:tabs>
          <w:tab w:val="right" w:leader="dot" w:pos="8495"/>
        </w:tabs>
        <w:rPr>
          <w:noProof/>
        </w:rPr>
      </w:pPr>
      <w:r>
        <w:t>E.3 · AI Safety Provisions</w:t>
        <w:tab/>
        <w:t>107</w:t>
      </w:r>
    </w:p>
    <w:p w14:paraId="1D6E2544" w14:textId="77777777" w:rsidR="0062437E" w:rsidRDefault="00000000">
      <w:pPr>
        <w:pStyle w:val="TOC2"/>
      </w:pPr>
      <w:r>
        <w:t>Appendix F · Glossary of Key Constructs</w:t>
        <w:tab/>
        <w:t>108</w:t>
      </w:r>
    </w:p>
    <w:p w14:paraId="259854E2" w14:textId="77777777" w:rsidR="00FD5D21" w:rsidRDefault="00FD5D21">
      <w:pPr>
        <w:pStyle w:val="TOC2"/>
        <w:spacing w:after="200" w:line="276" w:lineRule="auto"/>
        <w:rPr>
          <w:rFonts w:asciiTheme="majorHAnsi" w:eastAsiaTheme="majorEastAsia" w:hAnsiTheme="majorHAnsi" w:cstheme="majorBidi"/>
          <w:b/>
          <w:bCs/>
          <w:color w:val="000000"/>
          <w:sz w:val="32"/>
          <w:szCs w:val="28"/>
        </w:rPr>
      </w:pPr>
      <w:r>
        <w:t>Appendix G · Raw Data, Photographs and Supplementary Materials</w:t>
        <w:tab/>
        <w:t>110</w:t>
      </w:r>
    </w:p>
    <w:p w14:paraId="5FFD17E6" w14:textId="77777777" w:rsidR="0062437E" w:rsidRDefault="00000000">
      <w:pPr>
        <w:pStyle w:val="Heading1"/>
      </w:pPr>
      <w:r>
        <w:t>List of Figures</w:t>
      </w:r>
    </w:p>
    <w:p w14:paraId="0B8ABC6F"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Figure 3.1. Three-stage action research programme. Each stage produces an empirical output and a theoretical revision; the three stages converge on the adaptive-learning framework design framework and the future-work programme.</w:t>
        <w:tab/>
        <w:t>26</w:t>
      </w:r>
    </w:p>
    <w:p w14:paraId="646B94B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tab/>
        <w:t>30</w:t>
      </w:r>
    </w:p>
    <w:p w14:paraId="0E33FDC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 xml:space="preserve">Figure 5.0. Integration of the FRA system into the skiing game. The four-load-cell footplate is shared; the COP stream feeds a player-facing pipeline (skiing-game engine, design parameters, adaptive difficulty engine, telemetry logger) on the left and a </w:t>
        <w:lastRenderedPageBreak/>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tab/>
        <w:t>36</w:t>
      </w:r>
    </w:p>
    <w:p w14:paraId="7B9B8CF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5.1. Skiing game on-screen display. The skier is controlled through Centre-of-Pressure shifts on the InBody panel; trees and rocks act as obstacles, gold coins reward forward play, and a level-and-score display is anchored to the top of the screen.</w:t>
        <w:tab/>
        <w:t>40</w:t>
      </w:r>
    </w:p>
    <w:p w14:paraId="197BB91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5.2. Five-layer architecture of the gamified FRA system. The dual-purpose mechanic links Layer 0 (sensor input) and Layer 4 (clinical output) through the gameplay layers without exposing clinical numbers to the user during play.</w:t>
        <w:tab/>
        <w:t>42</w:t>
      </w:r>
    </w:p>
    <w:p w14:paraId="3A79A89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tab/>
        <w:t>46</w:t>
      </w:r>
    </w:p>
    <w:p w14:paraId="68446F0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5.4. Participant-level pre/post recorded FRA index for the Stage-2 cohort (N = 30), by engagement group.</w:t>
        <w:tab/>
        <w:t>49</w:t>
      </w:r>
    </w:p>
    <w:p w14:paraId="2464742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5.5. Participant flow diagram (Stage 2, N = 30): no re-engagement was observed among the twenty-one low-engagement participants during the eight-week study window.</w:t>
        <w:tab/>
        <w:t>50</w:t>
      </w:r>
    </w:p>
    <w:p w14:paraId="3CC7D0E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5.6. Distribution of FIAS composite scores across all 30 participants. Threshold gap visible between scores 5 and 9.</w:t>
        <w:tab/>
        <w:t>51</w:t>
      </w:r>
    </w:p>
    <w:p w14:paraId="58A53F1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tab/>
        <w:t>52</w:t>
      </w:r>
    </w:p>
    <w:p w14:paraId="5672897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6.1. Stage-3 retention and observed non-return at the end of the study window by age band (N = 120).</w:t>
        <w:tab/>
        <w:t>57</w:t>
      </w:r>
    </w:p>
    <w:p w14:paraId="0311270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lastRenderedPageBreak/>
        <w:t>Figure 6.2. Return behaviour after initial dropout, by age band: 62.5% return rate in the 65–80 band.</w:t>
        <w:tab/>
        <w:t>57</w:t>
      </w:r>
    </w:p>
    <w:p w14:paraId="4411F36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6.3. Retention versus regular-use intention by age band: the 29.3-pp commitment gap in the 65–80 band.</w:t>
        <w:tab/>
        <w:t>59</w:t>
      </w:r>
    </w:p>
    <w:p w14:paraId="7FB2BBE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7.1. adaptive-learning reference stack: existing five-layer FRA architecture (L0–L4) extended with three additional layers (L5 User-Facing Trajectory; L6 Staff Coaching Protocol; L7 Adaptive-Learning Telemetry).</w:t>
        <w:tab/>
        <w:t>68</w:t>
      </w:r>
    </w:p>
    <w:p w14:paraId="06DFCB2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tab/>
        <w:t>90</w:t>
      </w:r>
    </w:p>
    <w:p w14:paraId="5281C4ED" w14:textId="77777777" w:rsidR="0062437E" w:rsidRDefault="0062437E"/>
    <w:p w14:paraId="576C9A8D" w14:textId="77777777" w:rsidR="0062437E" w:rsidRDefault="00000000">
      <w:pPr>
        <w:pStyle w:val="Heading1"/>
      </w:pPr>
      <w:bookmarkStart w:id="3" w:name="_Toc232024494"/>
      <w:r>
        <w:t>List of Tables</w:t>
      </w:r>
      <w:bookmarkEnd w:id="3"/>
    </w:p>
    <w:p>
      <w:pPr>
        <w:pStyle w:val="TOC1"/>
      </w:pPr>
      <w:r>
        <w:t>Table 2.1. From the rejected null hypothesis to candidate mechanisms: the structure of the FIAS account.</w:t>
      </w:r>
    </w:p>
    <w:p>
      <w:pPr>
        <w:pStyle w:val="TOC1"/>
      </w:pPr>
      <w:r>
        <w:t>Table 3.1. The hypothesis architecture of the programme: where each claim originates, is stated, is tested, and stands.</w:t>
      </w:r>
    </w:p>
    <w:p w14:paraId="7C7206FC"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Table 4.1. Stage-1 survey results (N = 200 residents interviewed, of a resident population of 280).</w:t>
        <w:tab/>
        <w:t>31</w:t>
      </w:r>
    </w:p>
    <w:p w14:paraId="3D82E3B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4.2. TAM limitations for elderly FRA users.</w:t>
        <w:tab/>
        <w:t>32</w:t>
      </w:r>
    </w:p>
    <w:p w14:paraId="61679C9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4.3. Octalysis drives contextualised against STAM characteristics.</w:t>
        <w:tab/>
        <w:t>33</w:t>
      </w:r>
    </w:p>
    <w:p w14:paraId="5EEFC31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5.0. Skiing-game parameters by which the FRA COP signal is integrated into gameplay (extract; full specification in Game_States_and_Parameters.xlsx).</w:t>
        <w:tab/>
        <w:t>38</w:t>
      </w:r>
    </w:p>
    <w:p w14:paraId="2F1B5E6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5.1. Skiing game data structure summary.</w:t>
        <w:tab/>
        <w:t>43</w:t>
      </w:r>
    </w:p>
    <w:p w14:paraId="48029A7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5.2. Stage-2 engagement pattern (N = 30).</w:t>
        <w:tab/>
        <w:t>48</w:t>
      </w:r>
    </w:p>
    <w:p>
      <w:pPr>
        <w:pStyle w:val="TOC1"/>
      </w:pPr>
      <w:r>
        <w:t>Table 5.3. QFD deployment matrix: user needs mapped onto game technical characteristics.</w:t>
      </w:r>
    </w:p>
    <w:p w14:paraId="42A0471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6.1. Stage-3 overall engagement and dropout (N = 120).</w:t>
        <w:tab/>
        <w:t>55</w:t>
      </w:r>
    </w:p>
    <w:p w14:paraId="19D4F18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6.2. Stage-3 age-stratified engagement.</w:t>
        <w:tab/>
        <w:t>55</w:t>
      </w:r>
    </w:p>
    <w:p w14:paraId="1942F1FC"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6.3. Stage-3 coordination endorsement and regular-use intention by age band.</w:t>
        <w:tab/>
        <w:t>56</w:t>
      </w:r>
    </w:p>
    <w:p w14:paraId="384A028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6.4. Three-tier nested model specification for the FIAS-vs-TAM/STAM quantitative comparison.</w:t>
        <w:tab/>
        <w:t>60</w:t>
      </w:r>
    </w:p>
    <w:p w14:paraId="0A4FAE7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6.5. Consolidated statistical results for the key contrasts of Stages 2 and 3.</w:t>
        <w:tab/>
        <w:t>62</w:t>
      </w:r>
    </w:p>
    <w:p w14:paraId="2DE3DDC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7.1. adaptive-learning principles, function and empirical anchor.</w:t>
        <w:tab/>
        <w:t>66</w:t>
      </w:r>
    </w:p>
    <w:p w14:paraId="19BFBBA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7.2. adaptive-learning reference stack (L0–L7) mapped to adaptive-learning principles.</w:t>
        <w:tab/>
        <w:t>66</w:t>
      </w:r>
    </w:p>
    <w:p w14:paraId="6B8F2E37" w14:textId="77777777" w:rsidR="0062437E" w:rsidRDefault="00000000">
      <w:pPr>
        <w:pStyle w:val="TOC1"/>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tab/>
        <w:t>89</w:t>
      </w:r>
    </w:p>
    <w:p w14:paraId="6EECDC6E" w14:textId="77777777" w:rsidR="00FD5D21" w:rsidRDefault="00FD5D21">
      <w:pPr>
        <w:spacing w:after="200" w:line="276" w:lineRule="auto"/>
        <w:rPr>
          <w:rFonts w:asciiTheme="majorHAnsi" w:eastAsiaTheme="majorEastAsia" w:hAnsiTheme="majorHAnsi" w:cstheme="majorBidi"/>
          <w:b/>
          <w:bCs/>
          <w:color w:val="000000"/>
          <w:sz w:val="32"/>
          <w:szCs w:val="28"/>
        </w:rPr>
      </w:pPr>
    </w:p>
    <w:p w14:paraId="0FD149BF" w14:textId="77777777" w:rsidR="0062437E" w:rsidRDefault="00000000">
      <w:pPr>
        <w:pStyle w:val="Heading1"/>
      </w:pPr>
      <w:r>
        <w:t>List of Abbreviations</w:t>
      </w:r>
    </w:p>
    <w:tbl>
      <w:tblPr>
        <w:tblStyle w:val="TableGrid"/>
        <w:tblW w:w="0" w:type="auto"/>
        <w:jc w:val="center"/>
        <w:tblLook w:val="04A0" w:firstRow="1" w:lastRow="0" w:firstColumn="1" w:lastColumn="0" w:noHBand="0" w:noVBand="1"/>
      </w:tblPr>
      <w:tblGrid>
        <w:gridCol w:w="4247"/>
        <w:gridCol w:w="4248"/>
      </w:tblGrid>
      <w:tr w:rsidR="0062437E" w14:paraId="44824BFD" w14:textId="77777777">
        <w:trPr>
          <w:jc w:val="center"/>
        </w:trPr>
        <w:tc>
          <w:tcPr>
            <w:tcW w:w="4252" w:type="dxa"/>
          </w:tcPr>
          <w:p w14:paraId="6B06D982" w14:textId="77777777" w:rsidR="0062437E" w:rsidRDefault="00000000">
            <w:r>
              <w:rPr>
                <w:b/>
                <w:sz w:val="20"/>
              </w:rPr>
              <w:t>AI</w:t>
            </w:r>
          </w:p>
        </w:tc>
        <w:tc>
          <w:tcPr>
            <w:tcW w:w="4252" w:type="dxa"/>
          </w:tcPr>
          <w:p w14:paraId="00D3481E" w14:textId="77777777" w:rsidR="0062437E" w:rsidRDefault="00000000">
            <w:r>
              <w:rPr>
                <w:b/>
                <w:sz w:val="20"/>
              </w:rPr>
              <w:t>Artificial Intelligence</w:t>
            </w:r>
          </w:p>
        </w:tc>
      </w:tr>
      <w:tr w:rsidR="0062437E" w14:paraId="08EFA4C3" w14:textId="77777777">
        <w:trPr>
          <w:jc w:val="center"/>
        </w:trPr>
        <w:tc>
          <w:tcPr>
            <w:tcW w:w="4252" w:type="dxa"/>
          </w:tcPr>
          <w:p w14:paraId="55A9FF61" w14:textId="77777777" w:rsidR="0062437E" w:rsidRDefault="00000000">
            <w:r>
              <w:rPr>
                <w:sz w:val="20"/>
              </w:rPr>
              <w:t>AIC / BIC</w:t>
            </w:r>
          </w:p>
        </w:tc>
        <w:tc>
          <w:tcPr>
            <w:tcW w:w="4252" w:type="dxa"/>
          </w:tcPr>
          <w:p w14:paraId="75B702B4" w14:textId="77777777" w:rsidR="0062437E" w:rsidRDefault="00000000">
            <w:r>
              <w:rPr>
                <w:sz w:val="20"/>
              </w:rPr>
              <w:t>Akaike / Bayesian Information Criterion</w:t>
            </w:r>
          </w:p>
        </w:tc>
      </w:tr>
      <w:tr w:rsidR="0062437E" w14:paraId="4EB2DF50" w14:textId="77777777">
        <w:trPr>
          <w:jc w:val="center"/>
        </w:trPr>
        <w:tc>
          <w:tcPr>
            <w:tcW w:w="4252" w:type="dxa"/>
          </w:tcPr>
          <w:p w14:paraId="6C907992" w14:textId="77777777" w:rsidR="0062437E" w:rsidRDefault="00000000">
            <w:r>
              <w:rPr>
                <w:sz w:val="20"/>
              </w:rPr>
              <w:t>AUC</w:t>
            </w:r>
          </w:p>
        </w:tc>
        <w:tc>
          <w:tcPr>
            <w:tcW w:w="4252" w:type="dxa"/>
          </w:tcPr>
          <w:p w14:paraId="7D94C0BC" w14:textId="77777777" w:rsidR="0062437E" w:rsidRDefault="00000000">
            <w:r>
              <w:rPr>
                <w:sz w:val="20"/>
              </w:rPr>
              <w:t>Area Under the (ROC) Curve</w:t>
            </w:r>
          </w:p>
        </w:tc>
      </w:tr>
      <w:tr w:rsidR="0062437E" w14:paraId="3FBF204E" w14:textId="77777777">
        <w:trPr>
          <w:jc w:val="center"/>
        </w:trPr>
        <w:tc>
          <w:tcPr>
            <w:tcW w:w="4252" w:type="dxa"/>
          </w:tcPr>
          <w:p w14:paraId="3F2DD302" w14:textId="77777777" w:rsidR="0062437E" w:rsidRDefault="00000000">
            <w:r>
              <w:rPr>
                <w:sz w:val="20"/>
              </w:rPr>
              <w:t>BCW</w:t>
            </w:r>
          </w:p>
        </w:tc>
        <w:tc>
          <w:tcPr>
            <w:tcW w:w="4252" w:type="dxa"/>
          </w:tcPr>
          <w:p w14:paraId="5C04D07D" w14:textId="77777777" w:rsidR="0062437E" w:rsidRDefault="00000000">
            <w:r>
              <w:rPr>
                <w:sz w:val="20"/>
              </w:rPr>
              <w:t>Behaviour Change Wheel</w:t>
            </w:r>
          </w:p>
        </w:tc>
      </w:tr>
      <w:tr w:rsidR="0062437E" w14:paraId="44164878" w14:textId="77777777">
        <w:trPr>
          <w:jc w:val="center"/>
        </w:trPr>
        <w:tc>
          <w:tcPr>
            <w:tcW w:w="4252" w:type="dxa"/>
          </w:tcPr>
          <w:p w14:paraId="22472276" w14:textId="77777777" w:rsidR="0062437E" w:rsidRDefault="00000000">
            <w:r>
              <w:rPr>
                <w:sz w:val="20"/>
              </w:rPr>
              <w:t>CI</w:t>
            </w:r>
          </w:p>
        </w:tc>
        <w:tc>
          <w:tcPr>
            <w:tcW w:w="4252" w:type="dxa"/>
          </w:tcPr>
          <w:p w14:paraId="1E01BF58" w14:textId="77777777" w:rsidR="0062437E" w:rsidRDefault="00000000">
            <w:r>
              <w:rPr>
                <w:sz w:val="20"/>
              </w:rPr>
              <w:t>Confidence Interval</w:t>
            </w:r>
          </w:p>
        </w:tc>
      </w:tr>
      <w:tr w:rsidR="0062437E" w14:paraId="52A8214D" w14:textId="77777777">
        <w:trPr>
          <w:jc w:val="center"/>
        </w:trPr>
        <w:tc>
          <w:tcPr>
            <w:tcW w:w="4252" w:type="dxa"/>
          </w:tcPr>
          <w:p w14:paraId="25E6F199" w14:textId="77777777" w:rsidR="0062437E" w:rsidRDefault="00000000">
            <w:r>
              <w:rPr>
                <w:sz w:val="20"/>
              </w:rPr>
              <w:t>COM-B</w:t>
            </w:r>
          </w:p>
        </w:tc>
        <w:tc>
          <w:tcPr>
            <w:tcW w:w="4252" w:type="dxa"/>
          </w:tcPr>
          <w:p w14:paraId="27CF316E" w14:textId="77777777" w:rsidR="0062437E" w:rsidRDefault="00000000">
            <w:r>
              <w:rPr>
                <w:sz w:val="20"/>
              </w:rPr>
              <w:t>Capability, Opportunity, Motivation – Behaviour</w:t>
            </w:r>
          </w:p>
        </w:tc>
      </w:tr>
      <w:tr w:rsidR="0062437E" w14:paraId="57A6CD8C" w14:textId="77777777">
        <w:trPr>
          <w:jc w:val="center"/>
        </w:trPr>
        <w:tc>
          <w:tcPr>
            <w:tcW w:w="4252" w:type="dxa"/>
          </w:tcPr>
          <w:p w14:paraId="171266BC" w14:textId="77777777" w:rsidR="0062437E" w:rsidRDefault="00000000">
            <w:r>
              <w:rPr>
                <w:sz w:val="20"/>
              </w:rPr>
              <w:t>COP</w:t>
            </w:r>
          </w:p>
        </w:tc>
        <w:tc>
          <w:tcPr>
            <w:tcW w:w="4252" w:type="dxa"/>
          </w:tcPr>
          <w:p w14:paraId="37FBF305" w14:textId="77777777" w:rsidR="0062437E" w:rsidRDefault="00000000">
            <w:r>
              <w:rPr>
                <w:sz w:val="20"/>
              </w:rPr>
              <w:t>Centre of Pressure</w:t>
            </w:r>
          </w:p>
        </w:tc>
      </w:tr>
      <w:tr w:rsidR="0062437E" w14:paraId="2D66FB2D" w14:textId="77777777">
        <w:trPr>
          <w:jc w:val="center"/>
        </w:trPr>
        <w:tc>
          <w:tcPr>
            <w:tcW w:w="4252" w:type="dxa"/>
          </w:tcPr>
          <w:p w14:paraId="35285FAF" w14:textId="77777777" w:rsidR="0062437E" w:rsidRDefault="00000000">
            <w:r>
              <w:rPr>
                <w:sz w:val="20"/>
              </w:rPr>
              <w:t>FES-I</w:t>
            </w:r>
          </w:p>
        </w:tc>
        <w:tc>
          <w:tcPr>
            <w:tcW w:w="4252" w:type="dxa"/>
          </w:tcPr>
          <w:p w14:paraId="68EB7EA9" w14:textId="77777777" w:rsidR="0062437E" w:rsidRDefault="00000000">
            <w:r>
              <w:rPr>
                <w:sz w:val="20"/>
              </w:rPr>
              <w:t>Falls Efficacy Scale – International</w:t>
            </w:r>
          </w:p>
        </w:tc>
      </w:tr>
      <w:tr w:rsidR="0062437E" w14:paraId="4F441144" w14:textId="77777777">
        <w:trPr>
          <w:jc w:val="center"/>
        </w:trPr>
        <w:tc>
          <w:tcPr>
            <w:tcW w:w="4252" w:type="dxa"/>
          </w:tcPr>
          <w:p w14:paraId="62BEC8C2" w14:textId="77777777" w:rsidR="0062437E" w:rsidRDefault="00000000">
            <w:r>
              <w:rPr>
                <w:sz w:val="20"/>
              </w:rPr>
              <w:t>FIAS</w:t>
            </w:r>
          </w:p>
        </w:tc>
        <w:tc>
          <w:tcPr>
            <w:tcW w:w="4252" w:type="dxa"/>
          </w:tcPr>
          <w:p w14:paraId="4C28AB65" w14:textId="77777777" w:rsidR="0062437E" w:rsidRDefault="00000000">
            <w:r>
              <w:rPr>
                <w:sz w:val="20"/>
              </w:rPr>
              <w:t>Failure-Induced Abandonment Syndrome</w:t>
            </w:r>
          </w:p>
        </w:tc>
      </w:tr>
      <w:tr w:rsidR="0062437E" w14:paraId="6545197A" w14:textId="77777777">
        <w:trPr>
          <w:jc w:val="center"/>
        </w:trPr>
        <w:tc>
          <w:tcPr>
            <w:tcW w:w="4252" w:type="dxa"/>
          </w:tcPr>
          <w:p w14:paraId="015733CD" w14:textId="77777777" w:rsidR="0062437E" w:rsidRDefault="00000000">
            <w:r>
              <w:rPr>
                <w:sz w:val="20"/>
              </w:rPr>
              <w:t>FIDS</w:t>
            </w:r>
          </w:p>
        </w:tc>
        <w:tc>
          <w:tcPr>
            <w:tcW w:w="4252" w:type="dxa"/>
          </w:tcPr>
          <w:p w14:paraId="096AE7A3" w14:textId="77777777" w:rsidR="0062437E" w:rsidRDefault="00000000">
            <w:r>
              <w:rPr>
                <w:sz w:val="20"/>
              </w:rPr>
              <w:t>Failure-Induced Dropout Syndrome</w:t>
            </w:r>
          </w:p>
        </w:tc>
      </w:tr>
      <w:tr w:rsidR="0062437E" w14:paraId="2E9F5185" w14:textId="77777777">
        <w:trPr>
          <w:jc w:val="center"/>
        </w:trPr>
        <w:tc>
          <w:tcPr>
            <w:tcW w:w="4252" w:type="dxa"/>
          </w:tcPr>
          <w:p w14:paraId="26EF4AAE" w14:textId="77777777" w:rsidR="0062437E" w:rsidRDefault="00000000">
            <w:r>
              <w:rPr>
                <w:sz w:val="20"/>
              </w:rPr>
              <w:t>FoF</w:t>
            </w:r>
          </w:p>
        </w:tc>
        <w:tc>
          <w:tcPr>
            <w:tcW w:w="4252" w:type="dxa"/>
          </w:tcPr>
          <w:p w14:paraId="4510BFEA" w14:textId="77777777" w:rsidR="0062437E" w:rsidRDefault="00000000">
            <w:r>
              <w:rPr>
                <w:sz w:val="20"/>
              </w:rPr>
              <w:t>Fear of Falling</w:t>
            </w:r>
          </w:p>
        </w:tc>
      </w:tr>
      <w:tr w:rsidR="0062437E" w14:paraId="2B91A2C7" w14:textId="77777777">
        <w:trPr>
          <w:jc w:val="center"/>
        </w:trPr>
        <w:tc>
          <w:tcPr>
            <w:tcW w:w="4252" w:type="dxa"/>
          </w:tcPr>
          <w:p w14:paraId="3107292B" w14:textId="77777777" w:rsidR="0062437E" w:rsidRDefault="00000000">
            <w:r>
              <w:rPr>
                <w:sz w:val="20"/>
              </w:rPr>
              <w:t>FRA</w:t>
            </w:r>
          </w:p>
        </w:tc>
        <w:tc>
          <w:tcPr>
            <w:tcW w:w="4252" w:type="dxa"/>
          </w:tcPr>
          <w:p w14:paraId="7AC325E4" w14:textId="77777777" w:rsidR="0062437E" w:rsidRDefault="00000000">
            <w:r>
              <w:rPr>
                <w:sz w:val="20"/>
              </w:rPr>
              <w:t>Fall Risk Assessment</w:t>
            </w:r>
          </w:p>
        </w:tc>
      </w:tr>
      <w:tr w:rsidR="0062437E" w14:paraId="039E23E6" w14:textId="77777777">
        <w:trPr>
          <w:jc w:val="center"/>
        </w:trPr>
        <w:tc>
          <w:tcPr>
            <w:tcW w:w="4252" w:type="dxa"/>
          </w:tcPr>
          <w:p w14:paraId="0D1E6504" w14:textId="77777777" w:rsidR="0062437E" w:rsidRDefault="00000000">
            <w:r>
              <w:rPr>
                <w:sz w:val="20"/>
              </w:rPr>
              <w:t>HR</w:t>
            </w:r>
          </w:p>
        </w:tc>
        <w:tc>
          <w:tcPr>
            <w:tcW w:w="4252" w:type="dxa"/>
          </w:tcPr>
          <w:p w14:paraId="6216112F" w14:textId="77777777" w:rsidR="0062437E" w:rsidRDefault="00000000">
            <w:r>
              <w:rPr>
                <w:sz w:val="20"/>
              </w:rPr>
              <w:t>Hazard Ratio</w:t>
            </w:r>
          </w:p>
        </w:tc>
      </w:tr>
      <w:tr w:rsidR="0062437E" w14:paraId="1ED70D2B" w14:textId="77777777">
        <w:trPr>
          <w:jc w:val="center"/>
        </w:trPr>
        <w:tc>
          <w:tcPr>
            <w:tcW w:w="4252" w:type="dxa"/>
          </w:tcPr>
          <w:p w14:paraId="069FFD4D" w14:textId="77777777" w:rsidR="0062437E" w:rsidRDefault="00000000">
            <w:r>
              <w:rPr>
                <w:sz w:val="20"/>
              </w:rPr>
              <w:t>LRT</w:t>
            </w:r>
          </w:p>
        </w:tc>
        <w:tc>
          <w:tcPr>
            <w:tcW w:w="4252" w:type="dxa"/>
          </w:tcPr>
          <w:p w14:paraId="42C51C2F" w14:textId="77777777" w:rsidR="0062437E" w:rsidRDefault="00000000">
            <w:r>
              <w:rPr>
                <w:sz w:val="20"/>
              </w:rPr>
              <w:t>Likelihood-Ratio Test</w:t>
            </w:r>
          </w:p>
        </w:tc>
      </w:tr>
      <w:tr w:rsidR="0062437E" w14:paraId="398DB608" w14:textId="77777777">
        <w:trPr>
          <w:jc w:val="center"/>
        </w:trPr>
        <w:tc>
          <w:tcPr>
            <w:tcW w:w="4252" w:type="dxa"/>
          </w:tcPr>
          <w:p w14:paraId="3B20F926" w14:textId="77777777" w:rsidR="0062437E" w:rsidRDefault="00000000">
            <w:r>
              <w:rPr>
                <w:sz w:val="20"/>
              </w:rPr>
              <w:t>MoCA</w:t>
            </w:r>
          </w:p>
        </w:tc>
        <w:tc>
          <w:tcPr>
            <w:tcW w:w="4252" w:type="dxa"/>
          </w:tcPr>
          <w:p w14:paraId="7B02E810" w14:textId="77777777" w:rsidR="0062437E" w:rsidRDefault="00000000">
            <w:r>
              <w:rPr>
                <w:sz w:val="20"/>
              </w:rPr>
              <w:t>Montreal Cognitive Assessment</w:t>
            </w:r>
          </w:p>
        </w:tc>
      </w:tr>
      <w:tr w:rsidR="0062437E" w14:paraId="24164760" w14:textId="77777777">
        <w:trPr>
          <w:jc w:val="center"/>
        </w:trPr>
        <w:tc>
          <w:tcPr>
            <w:tcW w:w="4252" w:type="dxa"/>
          </w:tcPr>
          <w:p w14:paraId="0C8D334A" w14:textId="77777777" w:rsidR="0062437E" w:rsidRDefault="00000000">
            <w:r>
              <w:rPr>
                <w:sz w:val="20"/>
              </w:rPr>
              <w:t>NGSE</w:t>
            </w:r>
          </w:p>
        </w:tc>
        <w:tc>
          <w:tcPr>
            <w:tcW w:w="4252" w:type="dxa"/>
          </w:tcPr>
          <w:p w14:paraId="1FF56451" w14:textId="77777777" w:rsidR="0062437E" w:rsidRDefault="00000000">
            <w:r>
              <w:rPr>
                <w:sz w:val="20"/>
              </w:rPr>
              <w:t>New General Self-Efficacy Scale</w:t>
            </w:r>
          </w:p>
        </w:tc>
      </w:tr>
      <w:tr w:rsidR="0062437E" w14:paraId="71CC9729" w14:textId="77777777">
        <w:trPr>
          <w:jc w:val="center"/>
        </w:trPr>
        <w:tc>
          <w:tcPr>
            <w:tcW w:w="4252" w:type="dxa"/>
          </w:tcPr>
          <w:p w14:paraId="05BD0073" w14:textId="77777777" w:rsidR="0062437E" w:rsidRDefault="00000000">
            <w:r>
              <w:rPr>
                <w:sz w:val="20"/>
              </w:rPr>
              <w:t>OR</w:t>
            </w:r>
          </w:p>
        </w:tc>
        <w:tc>
          <w:tcPr>
            <w:tcW w:w="4252" w:type="dxa"/>
          </w:tcPr>
          <w:p w14:paraId="3EC6F5B3" w14:textId="77777777" w:rsidR="0062437E" w:rsidRDefault="00000000">
            <w:r>
              <w:rPr>
                <w:sz w:val="20"/>
              </w:rPr>
              <w:t>Odds Ratio</w:t>
            </w:r>
          </w:p>
        </w:tc>
      </w:tr>
      <w:tr w:rsidR="0062437E" w14:paraId="45AC035E" w14:textId="77777777">
        <w:trPr>
          <w:jc w:val="center"/>
        </w:trPr>
        <w:tc>
          <w:tcPr>
            <w:tcW w:w="4252" w:type="dxa"/>
          </w:tcPr>
          <w:p w14:paraId="50CFF681" w14:textId="77777777" w:rsidR="0062437E" w:rsidRDefault="00000000">
            <w:r>
              <w:rPr>
                <w:sz w:val="20"/>
              </w:rPr>
              <w:t>PEOU</w:t>
            </w:r>
          </w:p>
        </w:tc>
        <w:tc>
          <w:tcPr>
            <w:tcW w:w="4252" w:type="dxa"/>
          </w:tcPr>
          <w:p w14:paraId="5530A162" w14:textId="77777777" w:rsidR="0062437E" w:rsidRDefault="00000000">
            <w:r>
              <w:rPr>
                <w:sz w:val="20"/>
              </w:rPr>
              <w:t>Perceived Ease of Use</w:t>
            </w:r>
          </w:p>
        </w:tc>
      </w:tr>
      <w:tr w:rsidR="0062437E" w14:paraId="2B7BCB7F" w14:textId="77777777">
        <w:trPr>
          <w:jc w:val="center"/>
        </w:trPr>
        <w:tc>
          <w:tcPr>
            <w:tcW w:w="4252" w:type="dxa"/>
          </w:tcPr>
          <w:p w14:paraId="730A1406" w14:textId="77777777" w:rsidR="0062437E" w:rsidRDefault="00000000">
            <w:r>
              <w:rPr>
                <w:sz w:val="20"/>
              </w:rPr>
              <w:t>PIPL</w:t>
            </w:r>
          </w:p>
        </w:tc>
        <w:tc>
          <w:tcPr>
            <w:tcW w:w="4252" w:type="dxa"/>
          </w:tcPr>
          <w:p w14:paraId="64AF1314" w14:textId="77777777" w:rsidR="0062437E" w:rsidRDefault="00000000">
            <w:r>
              <w:rPr>
                <w:sz w:val="20"/>
              </w:rPr>
              <w:t>Personal Information Protection Law (PRC)</w:t>
            </w:r>
          </w:p>
        </w:tc>
      </w:tr>
      <w:tr w:rsidR="0062437E" w14:paraId="6D3DB2F2" w14:textId="77777777">
        <w:trPr>
          <w:jc w:val="center"/>
        </w:trPr>
        <w:tc>
          <w:tcPr>
            <w:tcW w:w="4252" w:type="dxa"/>
          </w:tcPr>
          <w:p w14:paraId="473A89D3" w14:textId="77777777" w:rsidR="0062437E" w:rsidRDefault="00000000">
            <w:r>
              <w:rPr>
                <w:sz w:val="20"/>
              </w:rPr>
              <w:lastRenderedPageBreak/>
              <w:t>PU</w:t>
            </w:r>
          </w:p>
        </w:tc>
        <w:tc>
          <w:tcPr>
            <w:tcW w:w="4252" w:type="dxa"/>
          </w:tcPr>
          <w:p w14:paraId="2BC63075" w14:textId="77777777" w:rsidR="0062437E" w:rsidRDefault="00000000">
            <w:r>
              <w:rPr>
                <w:sz w:val="20"/>
              </w:rPr>
              <w:t>Perceived Usefulness</w:t>
            </w:r>
          </w:p>
        </w:tc>
      </w:tr>
      <w:tr w:rsidR="0062437E" w14:paraId="5D5AB24E" w14:textId="77777777">
        <w:trPr>
          <w:jc w:val="center"/>
        </w:trPr>
        <w:tc>
          <w:tcPr>
            <w:tcW w:w="4252" w:type="dxa"/>
          </w:tcPr>
          <w:p w14:paraId="7306E1D3" w14:textId="77777777" w:rsidR="0062437E" w:rsidRDefault="00000000">
            <w:r>
              <w:rPr>
                <w:sz w:val="20"/>
              </w:rPr>
              <w:t>STAM</w:t>
            </w:r>
          </w:p>
        </w:tc>
        <w:tc>
          <w:tcPr>
            <w:tcW w:w="4252" w:type="dxa"/>
          </w:tcPr>
          <w:p w14:paraId="6A125BDA" w14:textId="77777777" w:rsidR="0062437E" w:rsidRDefault="00000000">
            <w:r>
              <w:rPr>
                <w:sz w:val="20"/>
              </w:rPr>
              <w:t>Senior Technology Acceptance Model</w:t>
            </w:r>
          </w:p>
        </w:tc>
      </w:tr>
      <w:tr w:rsidR="0062437E" w14:paraId="1072B9C6" w14:textId="77777777">
        <w:trPr>
          <w:jc w:val="center"/>
        </w:trPr>
        <w:tc>
          <w:tcPr>
            <w:tcW w:w="4252" w:type="dxa"/>
          </w:tcPr>
          <w:p w14:paraId="7B773AB1" w14:textId="77777777" w:rsidR="0062437E" w:rsidRDefault="00000000">
            <w:r>
              <w:rPr>
                <w:sz w:val="20"/>
              </w:rPr>
              <w:t>TAM</w:t>
            </w:r>
          </w:p>
        </w:tc>
        <w:tc>
          <w:tcPr>
            <w:tcW w:w="4252" w:type="dxa"/>
          </w:tcPr>
          <w:p w14:paraId="281388C5" w14:textId="77777777" w:rsidR="0062437E" w:rsidRDefault="00000000">
            <w:r>
              <w:rPr>
                <w:sz w:val="20"/>
              </w:rPr>
              <w:t>Technology Acceptance Model</w:t>
            </w:r>
          </w:p>
        </w:tc>
      </w:tr>
      <w:tr w:rsidR="0062437E" w14:paraId="36AB5BBB" w14:textId="77777777">
        <w:trPr>
          <w:jc w:val="center"/>
        </w:trPr>
        <w:tc>
          <w:tcPr>
            <w:tcW w:w="4252" w:type="dxa"/>
          </w:tcPr>
          <w:p w14:paraId="1C4D89FE" w14:textId="77777777" w:rsidR="0062437E" w:rsidRDefault="00000000">
            <w:r>
              <w:rPr>
                <w:sz w:val="20"/>
              </w:rPr>
              <w:t>UTAUT</w:t>
            </w:r>
          </w:p>
        </w:tc>
        <w:tc>
          <w:tcPr>
            <w:tcW w:w="4252" w:type="dxa"/>
          </w:tcPr>
          <w:p w14:paraId="65B39D6D" w14:textId="77777777" w:rsidR="0062437E" w:rsidRDefault="00000000">
            <w:r>
              <w:rPr>
                <w:sz w:val="20"/>
              </w:rPr>
              <w:t>Unified Theory of Acceptance and Use of Technology</w:t>
            </w:r>
          </w:p>
        </w:tc>
      </w:tr>
      <w:tr w:rsidR="0062437E" w14:paraId="0154654B" w14:textId="77777777">
        <w:trPr>
          <w:jc w:val="center"/>
        </w:trPr>
        <w:tc>
          <w:tcPr>
            <w:tcW w:w="4252" w:type="dxa"/>
          </w:tcPr>
          <w:p w14:paraId="66EAD572" w14:textId="77777777" w:rsidR="0062437E" w:rsidRDefault="00000000">
            <w:r>
              <w:rPr>
                <w:sz w:val="20"/>
              </w:rPr>
              <w:t>WTA</w:t>
            </w:r>
          </w:p>
        </w:tc>
        <w:tc>
          <w:tcPr>
            <w:tcW w:w="4252" w:type="dxa"/>
          </w:tcPr>
          <w:p w14:paraId="5A0B5F50" w14:textId="77777777" w:rsidR="0062437E" w:rsidRDefault="00000000">
            <w:r>
              <w:rPr>
                <w:sz w:val="20"/>
              </w:rPr>
              <w:t>Willingness To Accept</w:t>
            </w:r>
          </w:p>
        </w:tc>
      </w:tr>
      <w:tr w:rsidR="0062437E" w14:paraId="25C41F70" w14:textId="77777777">
        <w:trPr>
          <w:jc w:val="center"/>
        </w:trPr>
        <w:tc>
          <w:tcPr>
            <w:tcW w:w="4252" w:type="dxa"/>
          </w:tcPr>
          <w:p w14:paraId="1DBEB0EF" w14:textId="77777777" w:rsidR="0062437E" w:rsidRDefault="00000000">
            <w:r>
              <w:rPr>
                <w:sz w:val="20"/>
              </w:rPr>
              <w:t>WTP</w:t>
            </w:r>
          </w:p>
        </w:tc>
        <w:tc>
          <w:tcPr>
            <w:tcW w:w="4252" w:type="dxa"/>
          </w:tcPr>
          <w:p w14:paraId="37968DA1" w14:textId="77777777" w:rsidR="0062437E" w:rsidRDefault="00000000">
            <w:r>
              <w:rPr>
                <w:sz w:val="20"/>
              </w:rPr>
              <w:t>Willingness To Pay</w:t>
            </w:r>
          </w:p>
        </w:tc>
      </w:tr>
    </w:tbl>
    <w:p w14:paraId="6FF6C18F" w14:textId="77777777" w:rsidR="0062437E" w:rsidRDefault="0062437E">
      <w:pPr>
        <w:spacing w:after="40"/>
      </w:pPr>
    </w:p>
    <w:p w14:paraId="686C7BCA" w14:textId="77777777" w:rsidR="0062437E" w:rsidRDefault="0062437E">
      <w:pPr>
        <w:sectPr w:rsidR="0062437E">
          <w:footerReference w:type="default" r:id="rId8"/>
          <w:pgSz w:w="11906" w:h="16838"/>
          <w:pgMar w:top="1417" w:right="1417" w:bottom="1417" w:left="1984" w:header="720" w:footer="720" w:gutter="0"/>
          <w:pgNumType w:fmt="lowerRoman" w:start="1"/>
          <w:cols w:space="720"/>
          <w:titlePg/>
          <w:docGrid w:linePitch="360"/>
        </w:sectPr>
      </w:pPr>
    </w:p>
    <w:p w14:paraId="24D5E35B" w14:textId="77777777" w:rsidR="0062437E" w:rsidRDefault="00000000">
      <w:pPr>
        <w:pStyle w:val="Heading1"/>
        <w:pageBreakBefore/>
      </w:pPr>
      <w:bookmarkStart w:id="4" w:name="_Toc232024496"/>
      <w:r>
        <w:lastRenderedPageBreak/>
        <w:t>Chapter 1 Introduction</w:t>
      </w:r>
      <w:bookmarkEnd w:id="4"/>
    </w:p>
    <w:p w14:paraId="3C7FCDE9" w14:textId="77777777" w:rsidR="0062437E" w:rsidRDefault="00000000">
      <w:pPr>
        <w:pStyle w:val="Heading2"/>
      </w:pPr>
      <w:bookmarkStart w:id="5" w:name="_Toc232024497"/>
      <w:r>
        <w:t>1.1 The Point of Departure: An Empty Station in a Busy Hall</w:t>
      </w:r>
      <w:bookmarkEnd w:id="5"/>
    </w:p>
    <w:p w14:paraId="0E0B31CC" w14:textId="77777777" w:rsidR="0062437E" w:rsidRDefault="00000000">
      <w:pPr>
        <w:jc w:val="both"/>
      </w:pPr>
      <w: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14:paraId="5E8223E4" w14:textId="77777777" w:rsidR="0062437E" w:rsidRDefault="00000000">
      <w:pPr>
        <w:jc w:val="both"/>
      </w:pPr>
      <w: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14:paraId="41A7D84A" w14:textId="77777777" w:rsidR="0062437E" w:rsidRDefault="00000000">
      <w:pPr>
        <w:jc w:val="both"/>
      </w:pPr>
      <w: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14:paraId="5F216F64" w14:textId="77777777" w:rsidR="0062437E" w:rsidRDefault="00000000">
      <w:pPr>
        <w:pStyle w:val="Heading2"/>
      </w:pPr>
      <w:bookmarkStart w:id="6" w:name="_Toc232024498"/>
      <w:r>
        <w:t>1.2 Why the Empty Station Is an Industry Problem, Not a Local Problem</w:t>
      </w:r>
      <w:bookmarkEnd w:id="6"/>
    </w:p>
    <w:p w14:paraId="20BB275F" w14:textId="77777777" w:rsidR="0062437E" w:rsidRDefault="00000000">
      <w:pPr>
        <w:jc w:val="both"/>
      </w:pPr>
      <w:r>
        <w:t xml:space="preserve">The Guangzhou facility is not anomalous. Across the elderly residential care sector in Hong Kong, Mainland China and several comparable economies, sensor-based health </w:t>
        <w:lastRenderedPageBreak/>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14:paraId="46E22B66" w14:textId="77777777" w:rsidR="0062437E" w:rsidRDefault="00000000">
      <w:pPr>
        <w:jc w:val="both"/>
      </w:pPr>
      <w: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14:paraId="6DA7B142" w14:textId="77777777" w:rsidR="0062437E" w:rsidRDefault="00000000">
      <w:pPr>
        <w:pStyle w:val="Heading2"/>
      </w:pPr>
      <w:bookmarkStart w:id="7" w:name="_Toc232024499"/>
      <w:r>
        <w:t>1.3 The Demographic Backdrop</w:t>
      </w:r>
      <w:bookmarkEnd w:id="7"/>
    </w:p>
    <w:p w14:paraId="55481C93" w14:textId="77777777" w:rsidR="0062437E" w:rsidRDefault="00000000">
      <w:pPr>
        <w:jc w:val="both"/>
      </w:pPr>
      <w: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14:paraId="4A7D06F2" w14:textId="77777777" w:rsidR="0062437E" w:rsidRDefault="00000000">
      <w:pPr>
        <w:jc w:val="both"/>
      </w:pPr>
      <w: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lastRenderedPageBreak/>
        <w:t>of acute mental-health conditions. Whatever drives their abandonment is operating within a population that the standard non-use framings do not reach.</w:t>
      </w:r>
    </w:p>
    <w:p w14:paraId="3980600F" w14:textId="77777777" w:rsidR="0062437E" w:rsidRDefault="00000000">
      <w:pPr>
        <w:pStyle w:val="Heading2"/>
      </w:pPr>
      <w:bookmarkStart w:id="8" w:name="_Toc232024500"/>
      <w:r>
        <w:t>1.4 Falls, the Cascade, and the Fall Risk Assessment Technology</w:t>
      </w:r>
      <w:bookmarkEnd w:id="8"/>
    </w:p>
    <w:p w14:paraId="0CF1F9BE" w14:textId="77777777" w:rsidR="0062437E" w:rsidRDefault="00000000">
      <w:pPr>
        <w:jc w:val="both"/>
      </w:pPr>
      <w:r>
        <w:t>Falls supply the clinical backdrop. They are the leading cause of injury-related hospital admission among adults aged 65 and above (Centers for Disease Control and Prevention, 2023; World Health Organization, 2023). World Health Organization estimates put the proportion of older adults who fall at least once each year at about one in three for those aged 65–74 and about one in two for those aged 80 or above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14:paraId="3A069CC8" w14:textId="77777777" w:rsidR="0062437E" w:rsidRDefault="00000000">
      <w:pPr>
        <w:jc w:val="both"/>
      </w:pPr>
      <w: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w:t>
      </w:r>
    </w:p>
    <w:p w14:paraId="2AB96552" w14:textId="77777777" w:rsidR="0062437E" w:rsidRDefault="00000000">
      <w:pPr>
        <w:pStyle w:val="Heading2"/>
      </w:pPr>
      <w:bookmarkStart w:id="9" w:name="_Toc232024501"/>
      <w:r>
        <w:t>1.5 The Working Hypothesis Formed Before the Research Began</w:t>
      </w:r>
      <w:bookmarkEnd w:id="9"/>
    </w:p>
    <w:p w14:paraId="2570CB44" w14:textId="77777777" w:rsidR="0062437E" w:rsidRDefault="00000000">
      <w:pPr>
        <w:jc w:val="both"/>
      </w:pPr>
      <w: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14:paraId="7332A653" w14:textId="77777777" w:rsidR="0062437E" w:rsidRDefault="00000000">
      <w:pPr>
        <w:jc w:val="both"/>
      </w:pPr>
      <w: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lastRenderedPageBreak/>
        <w:t>rapid non-return among some prior users appeared to describe a post-contact behaviour that standard adoption models do not represent explicitly. These propositions were hypotheses to be refined, not findings established before data collection.</w:t>
      </w:r>
    </w:p>
    <w:p w14:paraId="7923A7F3" w14:textId="77777777" w:rsidR="0062437E" w:rsidRDefault="00000000">
      <w:pPr>
        <w:jc w:val="both"/>
      </w:pPr>
      <w: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 Methodologically, the conjecture and the literature's expectation were kept in explicit tension: Chapter 2 formalises the literature's expectation as the null hypothesis H0 — that a well-designed gamified FRA would be accepted and would not suffer failure-driven abandonment — and the empirical stages test H0 with the conjecture standing as its rival. The architecture that governs which claim is stated, tested and resolved where, is set out in Table 3.1.</w:t>
      </w:r>
    </w:p>
    <w:p w14:paraId="67EF0166" w14:textId="77777777" w:rsidR="0062437E" w:rsidRDefault="00000000">
      <w:pPr>
        <w:pStyle w:val="Heading2"/>
      </w:pPr>
      <w:bookmarkStart w:id="10" w:name="_Toc232024502"/>
      <w:r>
        <w:t>1.6 The Initial Survey: Building the Foundation of the Programme</w:t>
      </w:r>
      <w:bookmarkEnd w:id="10"/>
    </w:p>
    <w:p w14:paraId="57158417" w14:textId="77777777" w:rsidR="0062437E" w:rsidRDefault="00000000">
      <w:pPr>
        <w:jc w:val="both"/>
      </w:pPr>
      <w: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The exact recruitment flow, eligible denominator, completed-response count and item-level missingness must be reported consistently in the final bound version.</w:t>
      </w:r>
    </w:p>
    <w:p w14:paraId="6F793E9E" w14:textId="77777777" w:rsidR="0062437E" w:rsidRDefault="00000000">
      <w:pPr>
        <w:jc w:val="both"/>
      </w:pPr>
      <w: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Earlier working tables also reported physical access and perceived-benefit estimates above 80%. Those estimates should remain in the final thesis only if their source items, denominators and wording are reproduced and traceable to the archived instrument. The survey therefore provides a strong descriptive problem signature, but its wording does not allow every negative first experience to be treated unambiguously as task failure.</w:t>
      </w:r>
    </w:p>
    <w:p w14:paraId="1964328E" w14:textId="77777777" w:rsidR="0062437E" w:rsidRDefault="00000000">
      <w:pPr>
        <w:jc w:val="both"/>
      </w:pPr>
      <w:r>
        <w:lastRenderedPageBreak/>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14:paraId="33F42E81" w14:textId="77777777" w:rsidR="0062437E" w:rsidRDefault="00000000">
      <w:pPr>
        <w:pStyle w:val="Heading2"/>
      </w:pPr>
      <w: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Stage 3 was the programme's attribution experiment. By the close of Stage 2, H0 stood rejected, FIAS had been specified as a provisional construct and a behavioural-economic mechanism had been proposed — but the rejection admitted two readings: either gamification simply does not transfer to frail older adults, or the theory works and the coupling to the clinical technology broke it. These make opposite predictions for the same game with the clinical attachment removed, and Stage 3 was designed to tell them apart — in effect, a positive control for gamification theory itself. A separate-cohort decoupling study could provide strong directional evidence, though not eliminate all cohort and contextual alternatives.</w:t>
      </w:r>
    </w:p>
    <w:p w14:paraId="10B8BFA5" w14:textId="77777777" w:rsidR="0062437E" w:rsidRDefault="00000000">
      <w:pPr>
        <w:jc w:val="both"/>
      </w:pPr>
      <w:r>
        <w:t>One hundred and twenty adults aged 25-80 were recruited through Hong Kong community channels. The same broad hardware platform, skiing mechanic, session length and five-attempt rule were retained. Stage 3 changed a package of participant-facing clinical cues: the InBody pre-scan was removed, clinical and fall-risk terminology was removed, participant-facing clinical outputs were withheld, recruitment described a coordination challenge, and the interface was re-skinned. Observed non-return was 6.7% overall and 14.6%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one-sided between the two readings: the decoupled game was accepted at the levels the gamification literature predicts, which acquits the theory and the population and convicts the coupling. They do not rule out cohort self-selection, setting, recruitment, health-status, staff-interaction or observation-window differences, so the comparison is described as a between-cohort quasi-experimental decoupling study rather than a single-variable experiment. The residual 29.3-percentage-point difference in the 65-80 band between in-session retention and regular-use intention identifies the practical problem that remained — and it is where the programme found its principal design discovery: adaptive learning, formalised in Chapter 7 as the adaptive-learning framework, as the driver that can make returning worthwhile and eventually carry the clinical purpose back into the experience.</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with a separate Hong Kong community cohort.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explain why older adults abandon clinically attached health technology and to engineer a testable response: to identify, name and characterise failure-associated non-return in gamified FRA; to determine whether the failure belongs to gamification theory or to the coupling of game and clinical purpose; and to translate the evidence into a design framework deployable on existing infrastructure. The inquiry is structured as a null-hypothesis test with an attribution stage (H0, §2.3.5; architecture in Table 3.1), and four research questions organise the work.</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and Chapter 8 states them in the hierarchy the evidence supports. Theoretically, the problem finding is FIAS: failure-associated non-return as a post-contact behaviour that standard acceptance and gamification models do not represent, structured by the behavioural-economics account of Table 2.1 (loss aversion, identity-relevant endowment, mental accounting, stereotype threat — proposed as candidate mechanisms, not claimed as directly measured). The scope finding is a boundary condition for gamification theory: the theory transfers to older adults, as the Stage-3 evidence indicates, until the gamified activity is attached to a purpose-based technology whose verdicts touch the user's identity-level value propositions. The design discovery is adaptive learning as the behavioural-change driver — continuous improvement at the level of the individual user — with the adaptive-learning framework as its engineering formalisation and zero-failure presentation as a supporting element. These outputs form one architecture: FIAS explains why users disengage after failure, the adaptive-learning framework states how systems should be redesigned to prevent that disengagement, and the dynamic game-state engine of §5.3.10 operationalises the framework in real time (§7.5A). Methodologically, the thesis contributes the null-hypothesis-plus-attribution architecture (Table 3.1), the dual-purpose mechanic, the QFD evidence-to-design pipeline and the commitment-gap measurement; the AI-assisted development workflow is documented as the enabling method behind the artefact (§5.3.9), not claimed as a contribution — throughout the thesis, the AI tooling is an enabling technology, and the contribution is the behavioural design framework. Empirically, it reports the prospective rejection of H0 in Stage 2 and the theory-rescuing acceptance of the decoupled game in Stage 3, with within-cohort confirmation explicitly retained as future work. Practically, it specifies the adaptive-learning principle and the adaptive-learning framework for prospective evaluation on existing infrastructure.</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community-recruited cohort. Both were Chinese-cultural in setting and language,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29.3-percentage-point commitment gap does not identify adaptive learning as its sole cause; fatigue, physical capacity, access, session burden and other motivational factors remain viable alternatives. Direct comparison of design levers and controlled evaluation of the complete adaptive-learning framework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that follow the hypothesis architecture. Part I builds the test. Chapter 2 assembles the null hypothesis H0 from the acceptance and gamification literatures, names the gap those literatures leave — every Octalysis drive is a designer-side motivation lever, none addresses abandonment — and lays out the behavioural theory (Table 2.1) that will be needed when H0 fails. Chapter 3 declares the methodology: action research carrying a falsifiable hypothesis, the role of each stage (field signal, prospective test, attribution experiment), the hypothesis architecture (Table 3.1) and the confirmation-versus-discovery discipline. Part II executes it. Chapter 4 reports Stage 1, the retrospective field signal; Chapter 5 reports Stage 2, the prospective test that rejects H0; Chapter 6 reports Stage 3, the attribution experiment that rescues gamification theory, supports the coupling boundary condition, and — in the commitment gap — forces the design discovery. Part III claims and bounds it. Chapter 7 formalises adaptive learning as the adaptive-learning framework; Chapter 8 states the contributions in their evidential hierarchy, with alternative explanations, limitations, ethics and reproducibility; Chapter 9 synthesises the five-step arc and sets out the pre-specified confirmatory programme.</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to do one thing: build a null hypothesis from the existing literature, and then assemble the theory needed to explain why the data of this thesis reject it. It is a progressive argument, not a neutral inventory. Each stage answers a question the previous stage leaves open, and the evidential status of every claim is stated as it is made.</w:t>
      </w:r>
    </w:p>
    <w:p w14:paraId="7819B69E" w14:textId="77777777" w:rsidR="0062437E" w:rsidRDefault="00000000">
      <w:pPr>
        <w:jc w:val="both"/>
      </w:pPr>
      <w:r>
        <w:t>Stages one and two build the null hypothesis. Stage one is the technology acceptance lineage: the Technology Acceptance Model (Davis, 1989), its extensions (TAM2, TAM3, UTAUT) and the Senior Technology Acceptance Model (Chen &amp; Chan, 2014). These models explain how intentions to use a technology form, and they direct the designer to fit the technology to the user's acceptance criteria. Stage two is gamification: Deterding et al. (2011) and Chou's Octalysis Framework (2015), with the An–Cheung studies (An, Cheung &amp; Willoughby, 2024; An, Cheung &amp; Lo, 2025) as the strongest demonstration that gamification lifts elderly intention to use. Put together, these two literatures generate a clear expectation — the null hypothesis H0, stated formally in §2.3.5: a well-designed, gamified FRA should raise acceptance and sustain use. Chapters 4 and 5 test that expectation, and the Stage-2 data reject it.</w:t>
      </w:r>
    </w:p>
    <w:p w14:paraId="0D7FB49A" w14:textId="77777777" w:rsidR="0062437E" w:rsidRDefault="00000000">
      <w:pPr>
        <w:jc w:val="both"/>
      </w:pPr>
      <w:r>
        <w:t>Stage three asks what the rejection means. Self-efficacy theory (Bandura, 1977, 1997) and the computer self-efficacy literature for older adults (Hawthorn, 2007; Broady, Chan &amp; Caputi, 2010; Tsai et al., 2020) explain why difficulty reduces persistence. They explain dropout. They do not explain why the dropout becomes permanent, and they do not explain why users whose recorded scores improved still never came back.</w:t>
      </w:r>
    </w:p>
    <w:p w14:paraId="77402C51" w14:textId="77777777" w:rsidR="0062437E" w:rsidRDefault="00000000">
      <w:pPr>
        <w:jc w:val="both"/>
      </w:pPr>
      <w:r>
        <w:t>Stage four assembles the alternative account. Prospect theory and loss aversion (Kahneman &amp; Tversky, 1979), the endowment effect on identity-relevant assets, mental accounting (Thaler, 1985) and stereotype threat (Steele &amp; Aronson, 1995) are organised — in Table 2.1 — as a structured explanation of exactly the observations that the null hypothesis cannot accommodate. This integration is the theoretical contribution of the thesis and is named FIAS. The individual operators were not directly measured in the empirical stages, and the chapter says so wherever it matters.</w:t>
      </w:r>
    </w:p>
    <w:p w14:paraId="73F11E5A" w14:textId="77777777" w:rsidR="0062437E" w:rsidRDefault="00000000">
      <w:pPr>
        <w:jc w:val="both"/>
      </w:pPr>
      <w:r>
        <w:t>Stage five turns the account into design. If failure abandons users because of what failure is made to mean, then design can change the meaning: participant-facing decoupling (tested in Stage 3) and learning-oriented adaptation (proposed as the adaptive-learning framework, for prospective testing). The chapter closes with the supporting literature and a synthesis that walks the reader from H0 to its rejection to the design response, with chapter pointers at every step.</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 Two further limits matter for this thesis. First, TAM's evidence base is calibrated on younger, working-age users; older adults bring different life experiences and learning patterns, so the acceptance criteria the model asks designers to satisfy are not necessarily their criteria. Second, TAM directs attention to fitting the technology's design to the user's acceptance before use begins. It has nothing to say about the user's behavioural response after use begins — least of all after an adverse first experience.</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and it measures it better for older users. But it does not address why older users abandon a health technology they had already accepted and begun to use. Failure-Induced Abandonment Syndrome describes a state in which intention has collapsed and stayed collapsed; STAM contains no construct for the failure moment that produces the collapse, and the Stage-2 outcomes in Chapter 5 are not predictable from STAM baseline attributes alone. Stage one of the argument is therefore well established in the literature — and boundary-marked by this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 One structural feature of the framework is decisive for this thesis, and it is the key element missing from the gamification literature this review found. All eight drives answer a designer-side question: how do I motivate a player to start playing and keep playing? Not one drive answers the user-side question this thesis confronts: what makes a player — here, an older adult in a clinical setting — stop playing and never come back, and how is that abandonment avoided? Octalysis supplies levers for building engagement; it supplies no lever, and no warning, for failure-induced abandonment. The framework is therefore adopted here as the best available design vocabulary, and simultaneously marked as incomplete for the problem under study. Section 2.6.2C returns to this point with the zero-failure design concept that this research developed in response — a concept that inverts the framework's eighth drive rather than applying it.</w:t>
      </w:r>
    </w:p>
    <w:p w14:paraId="49733281" w14:textId="77777777" w:rsidR="0062437E" w:rsidRDefault="00000000">
      <w:pPr>
        <w:pStyle w:val="Heading3"/>
      </w:pPr>
      <w:r>
        <w:t>2.3.3 An, Cheung and Willoughby (2024): Evidence for TAM-STAM-Octalysis in Elderly Gamification</w:t>
      </w:r>
    </w:p>
    <w:p w14:paraId="63656570" w14:textId="77777777" w:rsidR="0062437E" w:rsidRDefault="00000000">
      <w:pPr>
        <w:jc w:val="both"/>
      </w:pPr>
      <w: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14:paraId="43F16D14" w14:textId="77777777" w:rsidR="0062437E" w:rsidRDefault="00000000">
      <w:pPr>
        <w:jc w:val="both"/>
      </w:pPr>
      <w: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indicates that the TAM-STAM-Octalysis stack is empirically valid for elderly gamification — provided the technology is not attached to an artefact-based health system.</w:t>
      </w:r>
    </w:p>
    <w:p w14:paraId="1FF2679E" w14:textId="77777777" w:rsidR="0062437E" w:rsidRDefault="00000000">
      <w:pPr>
        <w:pStyle w:val="Heading3"/>
      </w:pPr>
      <w:bookmarkStart w:id="27" w:name="_Toc232024521"/>
      <w:r>
        <w:t>2.3.4 The Boundary: When the Technology is Attached to FRA</w:t>
      </w:r>
      <w:bookmarkEnd w:id="27"/>
    </w:p>
    <w:p w14:paraId="317DD996" w14:textId="77777777" w:rsidR="0062437E" w:rsidRDefault="00000000">
      <w:pPr>
        <w:jc w:val="both"/>
      </w:pPr>
      <w: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lastRenderedPageBreak/>
        <w:t>about personal decline. D5 (Social Influence and Relatedness) may also become double-edged if peer comparison increases age-related self-awareness. These are context-dependent propositions, not universal inversions of the framework. Stage 2 provides some supporting evidence through the negative association observed for social-comparison framing, but the sample is small and the construct was not independently validated.</w:t>
      </w:r>
    </w:p>
    <w:p w14:paraId="44112A61" w14:textId="77777777" w:rsidR="0062437E" w:rsidRDefault="00000000">
      <w:pPr>
        <w:jc w:val="both"/>
      </w:pPr>
      <w: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t>2.3.5 The Null Hypothesis Built From Stages One and Two</w:t>
      </w:r>
    </w:p>
    <w:p>
      <w:r>
        <w:t>Stages one and two, taken together, generate a precise expectation, and this thesis treats that expectation as its null hypothesis. The reasoning has two premises. Premise one, from the acceptance lineage: when a technology is designed to fit the user's acceptance criteria, intention to use forms and use follows (Davis, 1989; Chen &amp; Chan, 2014). Premise two, from the gamification literature: layering game mechanics onto an acceptance-compliant design lifts elderly intention and engagement further, as the An–Cheung demonstrations show (An, Cheung &amp; Willoughby, 2024; An, Cheung &amp; Lo, 2025). Applied to the InBody FRA platform, whose clinical value is established and whose deployment motivated this programme, the two premises yield:</w:t>
      </w:r>
    </w:p>
    <w:p>
      <w:r>
        <w:rPr>
          <w:b/>
        </w:rPr>
        <w:t>H0 — A gamified Fall Risk Assessment that satisfies TAM/STAM acceptance criteria and implements Octalysis motivational drives will, as in the non-clinical demonstrations, improve older adults' acceptance of and intention to use the technology, and adverse first experiences will not produce lasting abandonment.</w:t>
      </w:r>
    </w:p>
    <w:p>
      <w:r>
        <w:t>One design decision protects the test of H0 from a trivial rebuttal. The Stage-2 gamified FRA was engineered with AI assistance (Claude Code; §5.3.9) to a specification that deliberately satisfies each element of the stack: an acceptance-screened entry flow, calibrated challenge, coin rewards, levels and feedback (Octalysis D2, D4), and a natural control mapping. If abandonment nonetheless persists, H0 does not fail because the game was badly made; it fails because the theories behind it are missing something. That is exactly what the data show. Stage 1 (Chapter 4) is retrospectively consistent with the failure of H0 — roughly three-quarters of prior FRA users reported an adverse first experience and the large majority never returned. Stage 2 (Chapter 5) tests H0 prospectively and rejects it: seventy per cent of participants disengaged at or before three cycles, no re-engagement was observed within the study window, and abandonment co-occurred with improving recorded scores. The AI-assisted development vehicle changed the cost of building the game; it did not change the abandonment pattern.</w:t>
      </w:r>
    </w:p>
    <w:p>
      <w:r>
        <w:t>The remainder of this chapter therefore has a single task: to assemble, from literatures the acceptance and gamification models do not draw on, an account of why H0 failed — and to turn that account into design propositions that Chapters 5 to 7 develop and Stage 3 begins to test.</w:t>
      </w:r>
    </w:p>
    <w:p w14:paraId="6193B1BD" w14:textId="77777777" w:rsidR="0062437E" w:rsidRDefault="00000000">
      <w:pPr>
        <w:pStyle w:val="Heading2"/>
      </w:pPr>
      <w:bookmarkStart w:id="28" w:name="_Toc232024522"/>
      <w:r>
        <w:t>2.4 Stage Three: Self-Efficacy as the First Diagnostic Layer</w:t>
      </w:r>
      <w:bookmarkEnd w:id="28"/>
    </w:p>
    <w:p w14:paraId="7A168C14" w14:textId="77777777" w:rsidR="0062437E" w:rsidRDefault="00000000">
      <w:pPr>
        <w:pStyle w:val="Heading3"/>
      </w:pPr>
      <w:bookmarkStart w:id="29" w:name="_Toc232024523"/>
      <w:r>
        <w:t>2.4.1 Bandura's Self-Efficacy</w:t>
      </w:r>
      <w:bookmarkEnd w:id="29"/>
    </w:p>
    <w:p w14:paraId="4E08D519" w14:textId="77777777" w:rsidR="0062437E" w:rsidRDefault="00000000">
      <w:pPr>
        <w:jc w:val="both"/>
      </w:pPr>
      <w: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14:paraId="43E40742" w14:textId="77777777" w:rsidR="0062437E" w:rsidRDefault="00000000">
      <w:pPr>
        <w:pStyle w:val="Heading3"/>
      </w:pPr>
      <w:bookmarkStart w:id="30" w:name="_Toc232024524"/>
      <w:r>
        <w:t>2.4.2 Computer Self-Efficacy Among Older Adults</w:t>
      </w:r>
      <w:bookmarkEnd w:id="30"/>
    </w:p>
    <w:p w14:paraId="1DF74D63" w14:textId="77777777" w:rsidR="0062437E" w:rsidRDefault="00000000">
      <w:pPr>
        <w:jc w:val="both"/>
      </w:pPr>
      <w: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14:paraId="3360A3B6" w14:textId="77777777" w:rsidR="0062437E" w:rsidRDefault="00000000">
      <w:pPr>
        <w:pStyle w:val="Heading3"/>
      </w:pPr>
      <w:bookmarkStart w:id="31" w:name="_Toc232024525"/>
      <w:r>
        <w:t>2.4.3 The Fear-and-Failure Cycle</w:t>
      </w:r>
      <w:bookmarkEnd w:id="31"/>
    </w:p>
    <w:p w14:paraId="1D75414E" w14:textId="77777777" w:rsidR="0062437E" w:rsidRDefault="00000000">
      <w:pPr>
        <w:jc w:val="both"/>
      </w:pPr>
      <w:r>
        <w:t>Tsai et al. (2020) studied a social platform designed for older adults and documented a self-reinforcing fear-and-failure cycle. Anticipatory fear of failure suppresses initial engagement; an early failure event, when one occurs, lowers task-specific self-efficacy; lowered self-efficacy raises anticipatory fear before the next attempted use; and the user disengages. The Tsai et al. cycle is the closest published precedent for the dynamics the present thesis observes in the F4 cluster of Stage 2.</w:t>
      </w:r>
    </w:p>
    <w:p w14:paraId="36570C0D" w14:textId="77777777" w:rsidR="0062437E" w:rsidRDefault="00000000">
      <w:pPr>
        <w:pStyle w:val="Heading3"/>
      </w:pPr>
      <w:bookmarkStart w:id="32" w:name="_Toc232024526"/>
      <w:r>
        <w:t>2.4.4 What Self-Efficacy Explains and What It Does Not</w:t>
      </w:r>
      <w:bookmarkEnd w:id="32"/>
    </w:p>
    <w:p w14:paraId="447629D6" w14:textId="77777777" w:rsidR="0062437E" w:rsidRDefault="00000000">
      <w:pPr>
        <w:jc w:val="both"/>
      </w:pPr>
      <w: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14:paraId="042FCBCA" w14:textId="77777777" w:rsidR="0062437E" w:rsidRDefault="00000000">
      <w:pPr>
        <w:jc w:val="both"/>
      </w:pPr>
      <w: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14:paraId="38A9BE14" w14:textId="77777777" w:rsidR="0062437E" w:rsidRDefault="00000000">
      <w:pPr>
        <w:pStyle w:val="Heading2"/>
      </w:pPr>
      <w:r>
        <w:t>2.5 Stage Four: Behavioural Science as a Candidate FIAS Account</w:t>
      </w:r>
    </w:p>
    <w:p w14:paraId="62EDD9DC" w14:textId="77777777" w:rsidR="0062437E" w:rsidRDefault="00000000">
      <w:pPr>
        <w:pStyle w:val="Heading3"/>
      </w:pPr>
      <w:r>
        <w:t>2.5.1 Why Behavioural Science Is Required</w:t>
      </w:r>
    </w:p>
    <w:p w14:paraId="59CBA988" w14:textId="77777777" w:rsidR="0062437E" w:rsidRDefault="00000000">
      <w:pPr>
        <w:jc w:val="both"/>
      </w:pPr>
      <w:r>
        <w:t>The transition from self-efficacy to behavioural economics is the substantive theoretical move of the thesis, and its structure follows directly from the rejected null hypothesis. Self-efficacy explains reduced persistence after difficulty, and it also allows recovery — so it cannot, on its own, account for what Stage 2 observed. Three observations from the rejection of H0 need explaining: first failure carried far more behavioural weight than the design predicted; exits persisted even when recorded scores improved; and the same gameplay event appears to mean something different under a clinical frame than under a game frame. Table 2.1 maps each observation onto the behavioural theory recruited to explain it, the construct that theory contributes to FIAS, and the testable prediction it generates. The subsections that follow develop each row. The operators were not directly measured in the present studies; the table is the structure that future measurement (§3.6) is designed to fill.</w:t>
      </w:r>
    </w:p>
    <w:p>
      <w:pPr>
        <w:pStyle w:val="TableCaption"/>
      </w:pPr>
      <w:r>
        <w:t>Table 2.1. From the rejected null hypothesis to candidate mechanisms: the structure of the FIAS account.</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r>
              <w:rPr>
                <w:sz w:val="20"/>
              </w:rPr>
            </w:r>
            <w:r>
              <w:rPr>
                <w:b/>
                <w:sz w:val="20"/>
              </w:rPr>
              <w:t>Observation H0 cannot explain</w:t>
            </w:r>
          </w:p>
        </w:tc>
        <w:tc>
          <w:tcPr>
            <w:tcW w:type="dxa" w:w="2126"/>
          </w:tcPr>
          <w:p>
            <w:r>
              <w:rPr>
                <w:sz w:val="20"/>
              </w:rPr>
            </w:r>
            <w:r>
              <w:rPr>
                <w:b/>
                <w:sz w:val="20"/>
              </w:rPr>
              <w:t>Behavioural theory</w:t>
            </w:r>
          </w:p>
        </w:tc>
        <w:tc>
          <w:tcPr>
            <w:tcW w:type="dxa" w:w="2126"/>
          </w:tcPr>
          <w:p>
            <w:r>
              <w:rPr>
                <w:sz w:val="20"/>
              </w:rPr>
            </w:r>
            <w:r>
              <w:rPr>
                <w:b/>
                <w:sz w:val="20"/>
              </w:rPr>
              <w:t>Construct contributed to FIAS</w:t>
            </w:r>
          </w:p>
        </w:tc>
        <w:tc>
          <w:tcPr>
            <w:tcW w:type="dxa" w:w="2126"/>
          </w:tcPr>
          <w:p>
            <w:r>
              <w:rPr>
                <w:sz w:val="20"/>
              </w:rPr>
            </w:r>
            <w:r>
              <w:rPr>
                <w:b/>
                <w:sz w:val="20"/>
              </w:rPr>
              <w:t>Prediction generated</w:t>
            </w:r>
          </w:p>
        </w:tc>
      </w:tr>
      <w:tr>
        <w:tc>
          <w:tcPr>
            <w:tcW w:type="dxa" w:w="2126"/>
          </w:tcPr>
          <w:p>
            <w:r>
              <w:rPr>
                <w:sz w:val="20"/>
              </w:rPr>
              <w:t>A single adverse first experience outweighs the design's motivational pull</w:t>
            </w:r>
          </w:p>
        </w:tc>
        <w:tc>
          <w:tcPr>
            <w:tcW w:type="dxa" w:w="2126"/>
          </w:tcPr>
          <w:p>
            <w:r>
              <w:rPr>
                <w:sz w:val="20"/>
              </w:rPr>
              <w:t>Prospect theory / loss aversion (Kahneman &amp; Tversky, 1979)</w:t>
            </w:r>
          </w:p>
        </w:tc>
        <w:tc>
          <w:tcPr>
            <w:tcW w:type="dxa" w:w="2126"/>
          </w:tcPr>
          <w:p>
            <w:r>
              <w:rPr>
                <w:sz w:val="20"/>
              </w:rPr>
              <w:t>Asymmetric weighting of an adverse result against a valued reference point</w:t>
            </w:r>
          </w:p>
        </w:tc>
        <w:tc>
          <w:tcPr>
            <w:tcW w:type="dxa" w:w="2126"/>
          </w:tcPr>
          <w:p>
            <w:r>
              <w:rPr>
                <w:sz w:val="20"/>
              </w:rPr>
              <w:t>First failure is associated with early disengagement (H1, Chapter 5)</w:t>
            </w:r>
          </w:p>
        </w:tc>
      </w:tr>
      <w:tr>
        <w:tc>
          <w:tcPr>
            <w:tcW w:type="dxa" w:w="2126"/>
          </w:tcPr>
          <w:p>
            <w:r>
              <w:rPr>
                <w:sz w:val="20"/>
              </w:rPr>
              <w:t>Exit persists even when the recorded score improves</w:t>
            </w:r>
          </w:p>
        </w:tc>
        <w:tc>
          <w:tcPr>
            <w:tcW w:type="dxa" w:w="2126"/>
          </w:tcPr>
          <w:p>
            <w:r>
              <w:rPr>
                <w:sz w:val="20"/>
              </w:rPr>
              <w:t>Endowment effect (Thaler, 1980; Kahneman, Knetsch &amp; Thaler, 1990)</w:t>
            </w:r>
          </w:p>
        </w:tc>
        <w:tc>
          <w:tcPr>
            <w:tcW w:type="dxa" w:w="2126"/>
          </w:tcPr>
          <w:p>
            <w:r>
              <w:rPr>
                <w:sz w:val="20"/>
              </w:rPr>
              <w:t>Identity-relevant endowment: exit protects a valued self-description from revaluation</w:t>
            </w:r>
          </w:p>
        </w:tc>
        <w:tc>
          <w:tcPr>
            <w:tcW w:type="dxa" w:w="2126"/>
          </w:tcPr>
          <w:p>
            <w:r>
              <w:rPr>
                <w:sz w:val="20"/>
              </w:rPr>
              <w:t>Objective improvement does not by itself produce return (H4 — the improvement/non-return paradox)</w:t>
            </w:r>
          </w:p>
        </w:tc>
      </w:tr>
      <w:tr>
        <w:tc>
          <w:tcPr>
            <w:tcW w:type="dxa" w:w="2126"/>
          </w:tcPr>
          <w:p>
            <w:r>
              <w:rPr>
                <w:sz w:val="20"/>
              </w:rPr>
              <w:t>The same event means different things under different frames</w:t>
            </w:r>
          </w:p>
        </w:tc>
        <w:tc>
          <w:tcPr>
            <w:tcW w:type="dxa" w:w="2126"/>
          </w:tcPr>
          <w:p>
            <w:r>
              <w:rPr>
                <w:sz w:val="20"/>
              </w:rPr>
              <w:t>Mental accounting (Thaler, 1985)</w:t>
            </w:r>
          </w:p>
        </w:tc>
        <w:tc>
          <w:tcPr>
            <w:tcW w:type="dxa" w:w="2126"/>
          </w:tcPr>
          <w:p>
            <w:r>
              <w:rPr>
                <w:sz w:val="20"/>
              </w:rPr>
              <w:t>Clinical framing sorts the session into a high-stakes health account</w:t>
            </w:r>
          </w:p>
        </w:tc>
        <w:tc>
          <w:tcPr>
            <w:tcW w:type="dxa" w:w="2126"/>
          </w:tcPr>
          <w:p>
            <w:r>
              <w:rPr>
                <w:sz w:val="20"/>
              </w:rPr>
              <w:t>Removing participant-facing clinical framing increases post-failure return (H5, Stage 3)</w:t>
            </w:r>
          </w:p>
        </w:tc>
      </w:tr>
      <w:tr>
        <w:tc>
          <w:tcPr>
            <w:tcW w:type="dxa" w:w="2126"/>
          </w:tcPr>
          <w:p>
            <w:r>
              <w:rPr>
                <w:sz w:val="20"/>
              </w:rPr>
              <w:t>Clinical and age-related cues amplify the meaning of failure</w:t>
            </w:r>
          </w:p>
        </w:tc>
        <w:tc>
          <w:tcPr>
            <w:tcW w:type="dxa" w:w="2126"/>
          </w:tcPr>
          <w:p>
            <w:r>
              <w:rPr>
                <w:sz w:val="20"/>
              </w:rPr>
              <w:t>Stereotype threat (Steele &amp; Aronson, 1995; Levy et al., 2002)</w:t>
            </w:r>
          </w:p>
        </w:tc>
        <w:tc>
          <w:tcPr>
            <w:tcW w:type="dxa" w:w="2126"/>
          </w:tcPr>
          <w:p>
            <w:r>
              <w:rPr>
                <w:sz w:val="20"/>
              </w:rPr>
              <w:t>Salience of age-related decline as the trigger of identity-relevant appraisal</w:t>
            </w:r>
          </w:p>
        </w:tc>
        <w:tc>
          <w:tcPr>
            <w:tcW w:type="dxa" w:w="2126"/>
          </w:tcPr>
          <w:p>
            <w:r>
              <w:rPr>
                <w:sz w:val="20"/>
              </w:rPr>
              <w:t>Threat-reduced framing and coaching improve retry and return (the adaptive-learning framework, Chapter 7)</w:t>
            </w:r>
          </w:p>
        </w:tc>
      </w:tr>
      <w:tr>
        <w:tc>
          <w:tcPr>
            <w:tcW w:type="dxa" w:w="2126"/>
          </w:tcPr>
          <w:p>
            <w:r>
              <w:rPr>
                <w:sz w:val="20"/>
              </w:rPr>
              <w:t>Abandonment persisted although the Stage-2 build had already softened in-game loss (lives, forgiving hits)</w:t>
            </w:r>
          </w:p>
        </w:tc>
        <w:tc>
          <w:tcPr>
            <w:tcW w:type="dxa" w:w="2126"/>
          </w:tcPr>
          <w:p>
            <w:r>
              <w:rPr>
                <w:sz w:val="20"/>
              </w:rPr>
              <w:t>Octalysis D8 inverted: zero-failure design (§2.6.2C, from this research's observations)</w:t>
            </w:r>
          </w:p>
        </w:tc>
        <w:tc>
          <w:tcPr>
            <w:tcW w:type="dxa" w:w="2126"/>
          </w:tcPr>
          <w:p>
            <w:r>
              <w:rPr>
                <w:sz w:val="20"/>
              </w:rPr>
              <w:t>The operative loss is identity-level, outside the game's ledger; verdict cues, not in-game losses, carry it</w:t>
            </w:r>
          </w:p>
        </w:tc>
        <w:tc>
          <w:tcPr>
            <w:tcW w:type="dxa" w:w="2126"/>
          </w:tcPr>
          <w:p>
            <w:r>
              <w:rPr>
                <w:sz w:val="20"/>
              </w:rPr>
              <w:t>Removing terminal failure verdicts (zero-failure states, §5.3.10) plus decoupling increases retry and return (the adaptive-learning framework, Chapter 7; isolated test in §8.8)</w:t>
            </w:r>
          </w:p>
        </w:tc>
      </w:tr>
    </w:tbl>
    <w:p w14:paraId="7533B3B9" w14:textId="77777777" w:rsidR="0062437E" w:rsidRDefault="00000000">
      <w:pPr>
        <w:pStyle w:val="Heading3"/>
      </w:pPr>
      <w:bookmarkStart w:id="33" w:name="_Toc232024529"/>
      <w:r>
        <w:lastRenderedPageBreak/>
        <w:t>2.5.2 Prospect Theory and Loss Aversion</w:t>
      </w:r>
      <w:bookmarkEnd w:id="33"/>
    </w:p>
    <w:p w14:paraId="5B82C0EF" w14:textId="77777777" w:rsidR="0062437E" w:rsidRDefault="00000000">
      <w:pPr>
        <w:jc w:val="both"/>
      </w:pPr>
      <w: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14:paraId="42306CE9" w14:textId="77777777" w:rsidR="0062437E" w:rsidRDefault="00000000">
      <w:pPr>
        <w:pStyle w:val="Heading3"/>
      </w:pPr>
      <w:bookmarkStart w:id="34" w:name="_Toc232024530"/>
      <w:r>
        <w:t>2.5.3 The Endowment Effect on Identity-Level Assets</w:t>
      </w:r>
      <w:bookmarkEnd w:id="34"/>
    </w:p>
    <w:p w14:paraId="56CF098C" w14:textId="77777777" w:rsidR="0062437E" w:rsidRDefault="00000000">
      <w:pPr>
        <w:jc w:val="both"/>
      </w:pPr>
      <w: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14:paraId="5FAE3712" w14:textId="77777777" w:rsidR="0062437E" w:rsidRDefault="00000000">
      <w:pPr>
        <w:jc w:val="both"/>
      </w:pPr>
      <w: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14:paraId="39838701" w14:textId="77777777" w:rsidR="0062437E" w:rsidRDefault="00000000">
      <w:pPr>
        <w:pStyle w:val="Heading3"/>
      </w:pPr>
      <w:bookmarkStart w:id="35" w:name="_Toc232024531"/>
      <w:r>
        <w:t>2.5.4 Mental Accounting of Health Outcomes</w:t>
      </w:r>
      <w:bookmarkEnd w:id="35"/>
    </w:p>
    <w:p w14:paraId="05DF0690" w14:textId="77777777" w:rsidR="0062437E" w:rsidRDefault="00000000">
      <w:pPr>
        <w:jc w:val="both"/>
      </w:pPr>
      <w: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14:paraId="580B6394" w14:textId="77777777" w:rsidR="0062437E" w:rsidRDefault="00000000">
      <w:pPr>
        <w:jc w:val="both"/>
      </w:pPr>
      <w:r>
        <w:lastRenderedPageBreak/>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14:paraId="47F8177B" w14:textId="77777777" w:rsidR="0062437E" w:rsidRDefault="00000000">
      <w:pPr>
        <w:pStyle w:val="Heading3"/>
      </w:pPr>
      <w:bookmarkStart w:id="36" w:name="_Toc232024532"/>
      <w:r>
        <w:t>2.5.5 Stereotype Threat as the Trigger</w:t>
      </w:r>
      <w:bookmarkEnd w:id="36"/>
    </w:p>
    <w:p w14:paraId="13A9A70C" w14:textId="77777777" w:rsidR="0062437E" w:rsidRDefault="00000000">
      <w:pPr>
        <w:jc w:val="both"/>
      </w:pPr>
      <w: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14:paraId="6E7A3745" w14:textId="77777777" w:rsidR="0062437E" w:rsidRDefault="00000000">
      <w:pPr>
        <w:pStyle w:val="Heading3"/>
      </w:pPr>
      <w:r>
        <w:t>2.5.6 A Four-Layer Behavioural Integration Proposed for FIAS</w:t>
      </w:r>
    </w:p>
    <w:p w14:paraId="61A74FF2" w14:textId="77777777" w:rsidR="0062437E" w:rsidRDefault="00000000">
      <w:pPr>
        <w:jc w:val="both"/>
      </w:pPr>
      <w: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14:paraId="6AB2D6BF" w14:textId="77777777" w:rsidR="0062437E" w:rsidRDefault="00000000">
      <w:pPr>
        <w:pStyle w:val="Heading2"/>
      </w:pPr>
      <w:r>
        <w:lastRenderedPageBreak/>
        <w:t>2.6 Stage Five: Positioning Decoupled Gameplay and Adaptive Learning as Design Responses</w:t>
      </w:r>
    </w:p>
    <w:p w14:paraId="69E54370" w14:textId="77777777" w:rsidR="0062437E" w:rsidRDefault="00000000">
      <w:pPr>
        <w:pStyle w:val="Heading3"/>
      </w:pPr>
      <w:bookmarkStart w:id="37" w:name="_Toc232024535"/>
      <w:r>
        <w:t>2.6.1 The Question Stage Four Leaves Open</w:t>
      </w:r>
      <w:bookmarkEnd w:id="37"/>
    </w:p>
    <w:p w14:paraId="1B5908AA" w14:textId="77777777" w:rsidR="0062437E" w:rsidRDefault="00000000">
      <w:pPr>
        <w:jc w:val="both"/>
      </w:pPr>
      <w: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14:paraId="41AE2797" w14:textId="77777777" w:rsidR="0062437E" w:rsidRDefault="00000000">
      <w:pPr>
        <w:pStyle w:val="Heading3"/>
      </w:pPr>
      <w:bookmarkStart w:id="38" w:name="_Toc232024536"/>
      <w:r>
        <w:t>2.6.2 Productive Failure and Adaptive Learning</w:t>
      </w:r>
      <w:bookmarkEnd w:id="38"/>
    </w:p>
    <w:p w14:paraId="5131B0C8" w14:textId="77777777" w:rsidR="0062437E" w:rsidRDefault="00000000">
      <w:pPr>
        <w:jc w:val="both"/>
      </w:pPr>
      <w: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14:paraId="7A57DC31" w14:textId="77777777" w:rsidR="0062437E" w:rsidRDefault="00000000">
      <w:pPr>
        <w:pStyle w:val="Heading3"/>
      </w:pPr>
      <w:bookmarkStart w:id="39" w:name="_Toc232024537"/>
      <w:r>
        <w:t>2.6.2A The Theoretical Lineage of Adaptive Learning</w:t>
      </w:r>
      <w:bookmarkEnd w:id="39"/>
    </w:p>
    <w:p w14:paraId="17A74774" w14:textId="77777777" w:rsidR="0062437E" w:rsidRDefault="00000000">
      <w:pPr>
        <w:jc w:val="both"/>
      </w:pPr>
      <w:r>
        <w:t>Adaptive learning is not a single technique but a convergence of four established traditions, and naming them explicitly matters because it fixes what the adaptive-learning framework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14:paraId="076CE62A" w14:textId="77777777" w:rsidR="0062437E" w:rsidRDefault="00000000">
      <w:pPr>
        <w:jc w:val="both"/>
      </w:pPr>
      <w: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14:paraId="77C6957F" w14:textId="77777777" w:rsidR="0062437E" w:rsidRDefault="00000000">
      <w:pPr>
        <w:pStyle w:val="Heading3"/>
      </w:pPr>
      <w:r>
        <w:t>2.6.2B Self-Determination Theory and Goal-Setting as Motivational Scaffolding</w:t>
      </w:r>
    </w:p>
    <w:p w14:paraId="18622AD7" w14:textId="77777777" w:rsidR="0062437E" w:rsidRDefault="00000000">
      <w:pPr>
        <w:jc w:val="both"/>
      </w:pPr>
      <w: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pPr>
        <w:pStyle w:val="Heading3"/>
      </w:pPr>
      <w:r>
        <w:t>2.6.2C Zero-Failure Design: A Research-Generated Concept That Inverts Octalysis D8</w:t>
      </w:r>
    </w:p>
    <w:p>
      <w:r>
        <w:t>Zero-failure design is a supporting design element of this thesis, not a core contribution. It was not found in the literature; it emerged from the field observations, and it became practical to build and test only because AI-assisted development made game-mechanic iteration cheap (§5.3.9). It is stated here because it disrupts an assumption of the framework this chapter reviews, and because the thesis's central design proposition — adaptive learning (§2.6.2A–B) — subsumes it. The concept is simple: in a clinically framed activity for older adults, the game must contain no terminal failure verdict. There is no Game Over screen, no lives-exhausted ending and no fail-state label; a collision or an error becomes an input to adaptation — the environment eases, the run continues — while challenge and truthful performance feedback are preserved. Zero-failure design is not challenge-free design (the desirable-difficulty literature of §2.6.2A warns against that) and it is not concealment (§8.7.2): it removes verdicts, not information.</w:t>
      </w:r>
    </w:p>
    <w:p>
      <w:r>
        <w:t>The concept inverts the eighth Octalysis drive. Chou (2015) treats Loss and Avoidance as a motivational lever the designer should use: fear of losing progress, streaks or assets keeps players playing. The observations of this programme point the other way for older users in clinical frames. The loss that governs their behaviour is not the in-game loss the framework manipulates; it is an identity-level loss — the threatened revaluation of a valued self-description — that sits entirely outside the game's ledger (§2.5.3). Where the framework says amplify loss salience to drive engagement, zero-failure design says remove loss presentation because the player is already carrying a loss the designer cannot see. To the author's knowledge, no elderly-gamification study states this inversion. It is recorded as an observation-driven design element in support of the thesis's central design proposition, adaptive learning, rather than as a headline contribution in its own right.</w:t>
      </w:r>
    </w:p>
    <w:p>
      <w:r>
        <w:t>The evidential status of the concept must be stated carefully, in three steps. First, the Stage-2 build already softened the in-game loss economy substantially — three lives, a neutral first hit, an obstacle-clearing second hit (Table 5.0) — yet retained a conventional terminal Game Over, and FIAS occurred regardless: seventy per cent early disengagement and no observed return (Chapter 5). Softening in-game loss alone was therefore insufficient, which is precisely what the identity-level account predicts. Second, this motivated the complete zero-failure repertoire — non-terminal recovery, mastery, narrative and reframe states — specified at §5.3.10 and implemented in the successor short-run build used for the Stage-3 apparatus lineage. Third, Stage 3 changed the participant-facing frame and the cohort together, so the isolated causal effect of the zero-failure component has not yet been measured; observed non-return fell to 6.7 per cent overall, but a residual non-return and the 29.3-percentage-point commitment gap remained. Zero-failure design is therefore a moderator within the FIAS account and a testable component of the adaptive-learning framework (Chapter 7), not a demonstrated cure; its isolated evaluation is pre-specified in the randomised study of §8.8.</w:t>
      </w:r>
    </w:p>
    <w:p w14:paraId="09123DC5" w14:textId="77777777" w:rsidR="0062437E" w:rsidRDefault="00000000">
      <w:pPr>
        <w:pStyle w:val="Heading3"/>
      </w:pPr>
      <w:r>
        <w:t>2.6.3 Endowment-Protective and Learning-Trajectory Appraisals as Competing Regimes</w:t>
      </w:r>
    </w:p>
    <w:p w14:paraId="1BD862DE" w14:textId="77777777" w:rsidR="0062437E" w:rsidRDefault="00000000">
      <w:pPr>
        <w:jc w:val="both"/>
      </w:pPr>
      <w: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14:paraId="5755B03F" w14:textId="77777777" w:rsidR="0062437E" w:rsidRDefault="00000000">
      <w:pPr>
        <w:pStyle w:val="Heading3"/>
      </w:pPr>
      <w:r>
        <w:t>2.6.4 Why Decoupled Gameplay Is a Critical but Non-Definitive Empirical Test</w:t>
      </w:r>
    </w:p>
    <w:p w14:paraId="0D573350" w14:textId="77777777" w:rsidR="0062437E" w:rsidRDefault="00000000">
      <w:pPr>
        <w:jc w:val="both"/>
      </w:pPr>
      <w:r>
        <w:t>Stage 3 retained the same broad pressure-panel apparatus, skiing mechanic, session length and five-attempt rule, while changing a package of participant-facing clinical cues and recruiting a separate Hong Kong community cohort.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recruitment, prior exposure, staff interaction or observation window. Nor does it directly test the complete adaptive-learning framework.</w:t>
      </w:r>
    </w:p>
    <w:p w14:paraId="6558300B" w14:textId="77777777" w:rsidR="0062437E" w:rsidRDefault="00000000">
      <w:pPr>
        <w:jc w:val="both"/>
      </w:pPr>
      <w:r>
        <w:t>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with substantially greater post-failure return. Adaptive learning and the adaptive-learning framework translate those observations into a falsifiable engineering programme. The later chapters preserve this hierarchy between established literature, observed results, inferred mechanisms and proposed design responses.</w:t>
      </w:r>
    </w:p>
    <w:p w14:paraId="033807BE" w14:textId="77777777" w:rsidR="0062437E" w:rsidRDefault="00000000">
      <w:pPr>
        <w:pStyle w:val="Heading2"/>
      </w:pPr>
      <w:bookmarkStart w:id="40" w:name="_Toc232024540"/>
      <w:r>
        <w:t>2.7 Supporting Evidence and Adjacent Frameworks</w:t>
      </w:r>
      <w:bookmarkEnd w:id="40"/>
    </w:p>
    <w:p w14:paraId="178DAD29" w14:textId="77777777" w:rsidR="0062437E" w:rsidRDefault="00000000">
      <w:pPr>
        <w:pStyle w:val="Heading3"/>
      </w:pPr>
      <w:bookmarkStart w:id="41" w:name="_Toc232024541"/>
      <w:r>
        <w:t>2.7.1 Gamification for Older Adults: The Koivisto and Malik Review</w:t>
      </w:r>
      <w:bookmarkEnd w:id="41"/>
    </w:p>
    <w:p w14:paraId="3138CD06" w14:textId="77777777" w:rsidR="0062437E" w:rsidRDefault="00000000">
      <w:pPr>
        <w:jc w:val="both"/>
      </w:pPr>
      <w:r>
        <w:t>Koivisto and Malik (2021) reviewed the gamification-for-older-adults literature systematically across 28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14:paraId="6B1E2277" w14:textId="77777777" w:rsidR="0062437E" w:rsidRDefault="00000000">
      <w:pPr>
        <w:jc w:val="both"/>
      </w:pPr>
      <w: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14:paraId="7E1D0D69" w14:textId="77777777" w:rsidR="0062437E" w:rsidRDefault="00000000">
      <w:pPr>
        <w:pStyle w:val="Heading3"/>
      </w:pPr>
      <w:bookmarkStart w:id="42" w:name="_Toc232024542"/>
      <w:r>
        <w:t>2.7.2 The NASSS Framework: Documented Abandonment Without a Mechanism</w:t>
      </w:r>
      <w:bookmarkEnd w:id="42"/>
    </w:p>
    <w:p w14:paraId="3B9881C9" w14:textId="77777777" w:rsidR="0062437E" w:rsidRDefault="00000000">
      <w:pPr>
        <w:jc w:val="both"/>
      </w:pPr>
      <w: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14:paraId="64B7D39C" w14:textId="77777777" w:rsidR="0062437E" w:rsidRDefault="00000000">
      <w:pPr>
        <w:pStyle w:val="Heading3"/>
      </w:pPr>
      <w:bookmarkStart w:id="43" w:name="_Toc232024543"/>
      <w:r>
        <w:lastRenderedPageBreak/>
        <w:t>2.7.3 Cross-Cultural Reference: The Korean Comparison</w:t>
      </w:r>
      <w:bookmarkEnd w:id="43"/>
    </w:p>
    <w:p w14:paraId="7B3DEE78" w14:textId="77777777" w:rsidR="0062437E" w:rsidRDefault="00000000">
      <w:pPr>
        <w:jc w:val="both"/>
      </w:pPr>
      <w:r>
        <w:t>Park et al. (2019) and Kim et al. (2018) are used in this thesis as a cross-cultural reference point for the same FRA technology: the former validates the system against gold-standard balance batteries, the latter establishes its test-retest reliability, and both evidence sustained institutional use in Korea. Neither reports an engagement rate, and no numerical Korean engagement benchmark is carried in this thesis (§4.7). The possibility that Korean implementations incorporate supportive framing or adaptive coaching is a hypothesis for comparative fieldwork, not an inference that can be made from the available sources.</w:t>
      </w:r>
    </w:p>
    <w:p w14:paraId="11F279E4" w14:textId="77777777" w:rsidR="0062437E" w:rsidRDefault="00000000">
      <w:pPr>
        <w:pStyle w:val="Heading3"/>
      </w:pPr>
      <w:bookmarkStart w:id="44" w:name="_Toc232024544"/>
      <w:r>
        <w:t>2.7.4 Information Entropy as a Bridge Lens</w:t>
      </w:r>
      <w:bookmarkEnd w:id="44"/>
    </w:p>
    <w:p w14:paraId="1E3AE2E4" w14:textId="77777777" w:rsidR="0062437E" w:rsidRDefault="00000000">
      <w:pPr>
        <w:jc w:val="both"/>
      </w:pPr>
      <w: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14:paraId="541F0E1B" w14:textId="77777777" w:rsidR="0062437E" w:rsidRDefault="00000000">
      <w:pPr>
        <w:pStyle w:val="Heading2"/>
      </w:pPr>
      <w:bookmarkStart w:id="45" w:name="_Toc232024545"/>
      <w:r>
        <w:t>2.8 Synthesis: The Five-Stage Transformative Argument</w:t>
      </w:r>
      <w:bookmarkEnd w:id="45"/>
    </w:p>
    <w:p w14:paraId="466D1460" w14:textId="77777777" w:rsidR="0062437E" w:rsidRDefault="00000000">
      <w:pPr>
        <w:jc w:val="both"/>
      </w:pPr>
      <w:r>
        <w:t>The argument of this chapter can now be read in five plain steps. Step one: the acceptance literature says that fitting a technology to the user's acceptance criteria produces intention and use, and the gamification literature says game mechanics amplify this for older adults — together they yield the null hypothesis H0 of §2.3.5, that a well-made gamified FRA will be accepted and used, and that failure will not drive abandonment. Step two: the data reject H0 — retrospectively in Stage 1 (Chapter 4) and prospectively in Stage 2 (Chapter 5), where seventy per cent of participants disengaged early and none returned, despite an AI-assisted build that satisfied the stack's design criteria. Step three: self-efficacy explains the dropout but not its permanence, and not the improvement/non-return paradox. Step four: the behavioural-economics account structured in Table 2.1 — loss aversion, identity-relevant endowment, mental accounting, stereotype threat — explains precisely the observations H0 cannot, and is named FIAS. Step five: the account implies a design response whose centre is adaptive learning — challenge calibrated to the individual and failure reframed as information about a personal trajectory (§2.6.2A–B) — the behavioural-change driver this programme regards as its principal design discovery. Two components support it: participant-facing decoupling, for which Stage 3 (Chapter 6) provides between-cohort field evidence, and zero-failure presentation, the observation-driven inversion of Octalysis D8 (§2.6.2C). The adaptive-learning framework (Chapter 7) is the engineering formalisation of the adaptive-learning proposition, and it awaits prospective testing.</w:t>
      </w:r>
    </w:p>
    <w:p w14:paraId="61B3764C" w14:textId="77777777" w:rsidR="0062437E" w:rsidRDefault="00000000">
      <w:pPr>
        <w:jc w:val="both"/>
      </w:pPr>
      <w:r>
        <w:t>No single stage carries the argument alone. The intellectual contribution is the chain itself: a null hypothesis honestly built from the best available models, an empirical rejection that cannot be blamed on implementation quality, a structured behavioural account of the rejection, and an engineering programme that converts the account into testable design. The empirical contribution is strongest for the Stage-2 disengagement pattern and the substantially higher post-failure return in the separate Stage-3 decoupled cohort. The mechanism and framework claims remain provisional, and they are stated throughout in a form that direct measurement and a within-cohort randomised comparison can falsify.</w:t>
      </w:r>
    </w:p>
    <w:p w14:paraId="3CCE302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46" w:name="_Toc232024546"/>
      <w:r>
        <w:br w:type="page"/>
      </w:r>
    </w:p>
    <w:p w14:paraId="4D1938C1" w14:textId="77777777" w:rsidR="0062437E" w:rsidRDefault="00000000">
      <w:pPr>
        <w:pStyle w:val="Heading1"/>
        <w:pageBreakBefore/>
      </w:pPr>
      <w:r>
        <w:lastRenderedPageBreak/>
        <w:t>Chapter 3 Research Methodology</w:t>
      </w:r>
      <w:bookmarkEnd w:id="46"/>
    </w:p>
    <w:p w14:paraId="5BA32AFD" w14:textId="77777777" w:rsidR="0062437E" w:rsidRDefault="00000000">
      <w:pPr>
        <w:pStyle w:val="Heading2"/>
      </w:pPr>
      <w:bookmarkStart w:id="47" w:name="_Toc232024547"/>
      <w:r>
        <w:t>3.1 Action Research as the Methodological Frame</w:t>
      </w:r>
      <w:bookmarkEnd w:id="47"/>
    </w:p>
    <w:p w14:paraId="1DB514D0" w14:textId="77777777" w:rsidR="0062437E" w:rsidRDefault="00000000">
      <w:pPr>
        <w:jc w:val="both"/>
      </w:pPr>
      <w:r>
        <w:rPr>
          <w:i w:val="0"/>
        </w:rPr>
        <w:t>The programme adopts action research (Lewin, 1946; Stringer, 2014; Reason &amp; Bradbury, 2008) and treats cycles of action, observation, reflection and design revision as part of the inquiry. Two things make this the right frame for the present study, and they should be stated plainly. First, the programme is hypothesis-testing and discovery-generating at the same time. A falsifiable null hypothesis, H0, is built from the literature (§2.3.5) and tested prospectively; but the programme's most important outputs — the FIAS construct, the coupling boundary condition and the adaptive-learning proposition — were not presupposed. They were discovered through the cycles, and action research is the methodology that makes such discovery legitimate rather than accidental: each cycle plans an action, executes it in the field, observes what the plan did not predict, and revises the working theory before the next cycle. Second, the frame mirrors the programme topic. Action research is continuous improvement applied to inquiry itself — plan, act, observe, reflect is the researcher's form of the same iterative loop that the thesis ultimately proposes for the individual user (adaptive learning, §6.8) and practised in the artefact's construction (the AI-assisted build, §5.3.9). The documented revisions are: from FIDS toward the provisional FIAS construct after Stages 1 and 2; from a dispositional account toward the coupling account and its boundary condition after Stage 3; and from decoupling alone toward adaptive learning, formalised as the adaptive-learning framework, as the design programme. These revisions are changes in working explanation; they are not independent confirmation of the underlying psychological mechanisms. The programme is best read, and is offered, as exploratory engineering research: it borrows the discipline of hypothesis testing — a null hypothesis stated in advance, an attribution stage, pre-specified confirmatory studies — while claiming the freedom that exploration earns: to notice what the plan did not predict, to name it, and to follow it. At this scale the work does not attempt formal theory building; it maps new territory carefully enough that the confirmatory expedition knows exactly where to dig. That status is declared here, once, so that the discoveries in the chapters that follow can be stated in their own plain terms.</w:t>
      </w:r>
    </w:p>
    <w:p w14:paraId="46EC2E6D" w14:textId="77777777" w:rsidR="0062437E" w:rsidRDefault="00000000">
      <w:pPr>
        <w:pStyle w:val="Heading2"/>
      </w:pPr>
      <w:bookmarkStart w:id="48" w:name="_Toc232024548"/>
      <w:r>
        <w:t>3.2 Three-Stage Design</w:t>
      </w:r>
      <w:bookmarkEnd w:id="48"/>
    </w:p>
    <w:p w14:paraId="6DBDF4A5" w14:textId="77777777" w:rsidR="0062437E" w:rsidRDefault="00000000">
      <w:pPr>
        <w:jc w:val="both"/>
      </w:pPr>
      <w:r>
        <w:t>Stage 1 was a descriptive, retrospective survey at the Poly Group facility in Guangzhou: a six-item Yes/No instrument administered face-to-face by nursing staff. Its methodological role in the architecture is to establish the field signal — a population satisfying every practical precondition of the acceptance models, with a documented pattern of adverse first experiences and non-return — that makes H0 worth testing prospectively (Chapter 4). The facility housed 280 residents at the time of the survey; 200 eligible residents were interviewed about their FRA experience, and all Stage-1 percentages are computed on the interviewed sample of 200.</w:t>
      </w:r>
    </w:p>
    <w:p w14:paraId="2B5F511C" w14:textId="77777777" w:rsidR="0062437E" w:rsidRDefault="00000000">
      <w:pPr>
        <w:jc w:val="both"/>
      </w:pPr>
      <w:r>
        <w:t xml:space="preserve">Stage 2 was a prospective eight-week action-research deployment with thirty residents at the same facility. The intervention was a dual-purpose AI-assisted skiing game on the InBody pressure panel, engineered to satisfy the acceptance and gamification design criteria of Chapter 2, which is what makes Stage 2 the programme's prospective test of H0 under fully provisioned conditions (§5.2).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Quality Function Deployment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14:paraId="02B759B2" w14:textId="77777777" w:rsidR="0062437E" w:rsidRDefault="00000000">
      <w:pPr>
        <w:jc w:val="both"/>
      </w:pPr>
      <w:r>
        <w:rPr>
          <w:i w:val="0"/>
        </w:rPr>
        <w:t>Stage 3 was a between-cycle, between-cohort quasi-experimental field study with 120 adults aged 25-80 recruited through Hong Kong community channels. The same broad pressure-panel apparatus, skiing mechanic, five-attempt rule and session length were retained, while participant-facing clinical framing was changed through multiple coordinated components: recruitment language, removal of the pre-session clinical scan, removal of clinical labels and participant-facing clinical outputs, and a coordination-game interface. Because cohort, setting and recruitment also differed, Stage 3 estimates the combined association of the decoupled condition and its context with behaviour; it does not isolate a single causal variable. Its methodological role is attribution: the Stage-2 rejection of H0 admits a dispositional reading (gamification does not transfer to older adults) and a coupling reading (the attachment to the clinical technology broke it), and these make opposite predictions for a decoupled game (§6.1). Stage 3 is therefore designed as the programme's positive control for gamification theory, while its multi-component, between-cohort character bounds the causal strength of that attribution. The cohort design serves this purpose deliberately: recruiting three age bands (25-44, 45-64, 65-80) builds the comparison group into the study itself, and licenses a second null hypothesis, H0-age — that under the decoupled condition there is no difference between age groups. Stage 3 nullifies it: initial engagement differs sharply by age (0 of 38 younger versus 16 of 41 older initial dropouts; Fisher's exact p &lt; 0.0001), while non-return converges toward low levels in every band. The pattern is exactly what the identity-level account predicts — the burden that decoupling relieves is concentrated in the group whose identity the technology's purpose touches.</w:t>
      </w:r>
    </w:p>
    <w:p>
      <w:pPr>
        <w:pStyle w:val="TableCaption"/>
      </w:pPr>
      <w:r>
        <w:t>Table 3.1. The hypothesis architecture of the programme: where each claim originates, is stated, is tested, and stands.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r>
              <w:rPr>
                <w:sz w:val="20"/>
              </w:rPr>
            </w:r>
            <w:r>
              <w:rPr>
                <w:b/>
                <w:sz w:val="20"/>
              </w:rPr>
              <w:t>Claim</w:t>
            </w:r>
          </w:p>
        </w:tc>
        <w:tc>
          <w:tcPr>
            <w:tcW w:type="dxa" w:w="1701"/>
          </w:tcPr>
          <w:p>
            <w:r>
              <w:rPr>
                <w:sz w:val="20"/>
              </w:rPr>
            </w:r>
            <w:r>
              <w:rPr>
                <w:b/>
                <w:sz w:val="20"/>
              </w:rPr>
              <w:t>Origin</w:t>
            </w:r>
          </w:p>
        </w:tc>
        <w:tc>
          <w:tcPr>
            <w:tcW w:type="dxa" w:w="1701"/>
          </w:tcPr>
          <w:p>
            <w:r>
              <w:rPr>
                <w:sz w:val="20"/>
              </w:rPr>
            </w:r>
            <w:r>
              <w:rPr>
                <w:b/>
                <w:sz w:val="20"/>
              </w:rPr>
              <w:t>Stated</w:t>
            </w:r>
          </w:p>
        </w:tc>
        <w:tc>
          <w:tcPr>
            <w:tcW w:type="dxa" w:w="1701"/>
          </w:tcPr>
          <w:p>
            <w:r>
              <w:rPr>
                <w:sz w:val="20"/>
              </w:rPr>
            </w:r>
            <w:r>
              <w:rPr>
                <w:b/>
                <w:sz w:val="20"/>
              </w:rPr>
              <w:t>Tested / examined</w:t>
            </w:r>
          </w:p>
        </w:tc>
        <w:tc>
          <w:tcPr>
            <w:tcW w:type="dxa" w:w="1701"/>
          </w:tcPr>
          <w:p>
            <w:r>
              <w:rPr>
                <w:sz w:val="20"/>
              </w:rPr>
            </w:r>
            <w:r>
              <w:rPr>
                <w:b/>
                <w:sz w:val="20"/>
              </w:rPr>
              <w:t>Status in this thesis</w:t>
            </w:r>
          </w:p>
        </w:tc>
      </w:tr>
      <w:tr>
        <w:tc>
          <w:tcPr>
            <w:tcW w:type="dxa" w:w="1701"/>
          </w:tcPr>
          <w:p>
            <w:r>
              <w:rPr>
                <w:sz w:val="20"/>
              </w:rPr>
              <w:t>H0 — gamified FRA satisfying TAM/STAM + Octalysis sustains elderly acceptance; failure does not produce abandonment</w:t>
            </w:r>
          </w:p>
        </w:tc>
        <w:tc>
          <w:tcPr>
            <w:tcW w:type="dxa" w:w="1701"/>
          </w:tcPr>
          <w:p>
            <w:r>
              <w:rPr>
                <w:sz w:val="20"/>
              </w:rPr>
              <w:t>Literature (acceptance + gamification)</w:t>
            </w:r>
          </w:p>
        </w:tc>
        <w:tc>
          <w:tcPr>
            <w:tcW w:type="dxa" w:w="1701"/>
          </w:tcPr>
          <w:p>
            <w:r>
              <w:rPr>
                <w:sz w:val="20"/>
              </w:rPr>
              <w:t>§2.3.5; §5.1</w:t>
            </w:r>
          </w:p>
        </w:tc>
        <w:tc>
          <w:tcPr>
            <w:tcW w:type="dxa" w:w="1701"/>
          </w:tcPr>
          <w:p>
            <w:r>
              <w:rPr>
                <w:sz w:val="20"/>
              </w:rPr>
              <w:t>Stage 1 retrospectively (Ch 4); Stage 2 prospectively (Ch 5)</w:t>
            </w:r>
          </w:p>
        </w:tc>
        <w:tc>
          <w:tcPr>
            <w:tcW w:type="dxa" w:w="1701"/>
          </w:tcPr>
          <w:p>
            <w:r>
              <w:rPr>
                <w:sz w:val="20"/>
              </w:rPr>
              <w:t>Rejected</w:t>
            </w:r>
          </w:p>
        </w:tc>
      </w:tr>
      <w:tr>
        <w:tc>
          <w:tcPr>
            <w:tcW w:type="dxa" w:w="1701"/>
          </w:tcPr>
          <w:p>
            <w:r>
              <w:rPr>
                <w:sz w:val="20"/>
              </w:rPr>
              <w:t>H1–H4 — directional hypotheses on first failure, re-engagement, social comparison, and the improvement/non-return paradox</w:t>
            </w:r>
          </w:p>
        </w:tc>
        <w:tc>
          <w:tcPr>
            <w:tcW w:type="dxa" w:w="1701"/>
          </w:tcPr>
          <w:p>
            <w:r>
              <w:rPr>
                <w:sz w:val="20"/>
              </w:rPr>
              <w:t>Stage-1 observations</w:t>
            </w:r>
          </w:p>
        </w:tc>
        <w:tc>
          <w:tcPr>
            <w:tcW w:type="dxa" w:w="1701"/>
          </w:tcPr>
          <w:p>
            <w:r>
              <w:rPr>
                <w:sz w:val="20"/>
              </w:rPr>
              <w:t>§5.1</w:t>
            </w:r>
          </w:p>
        </w:tc>
        <w:tc>
          <w:tcPr>
            <w:tcW w:type="dxa" w:w="1701"/>
          </w:tcPr>
          <w:p>
            <w:r>
              <w:rPr>
                <w:sz w:val="20"/>
              </w:rPr>
              <w:t>Stage 2 (Ch 5)</w:t>
            </w:r>
          </w:p>
        </w:tc>
        <w:tc>
          <w:tcPr>
            <w:tcW w:type="dxa" w:w="1701"/>
          </w:tcPr>
          <w:p>
            <w:r>
              <w:rPr>
                <w:sz w:val="20"/>
              </w:rPr>
              <w:t>Directionally supported within a small single-site sample</w:t>
            </w:r>
          </w:p>
        </w:tc>
      </w:tr>
      <w:tr>
        <w:tc>
          <w:tcPr>
            <w:tcW w:type="dxa" w:w="1701"/>
          </w:tcPr>
          <w:p>
            <w:r>
              <w:rPr>
                <w:sz w:val="20"/>
              </w:rPr>
              <w:t>H5 and the Stage-3 predictions — decoupling is associated with lower non-return and post-failure return</w:t>
            </w:r>
          </w:p>
        </w:tc>
        <w:tc>
          <w:tcPr>
            <w:tcW w:type="dxa" w:w="1701"/>
          </w:tcPr>
          <w:p>
            <w:r>
              <w:rPr>
                <w:sz w:val="20"/>
              </w:rPr>
              <w:t>Stage-2 findings (mental-accounting row of Table 2.1)</w:t>
            </w:r>
          </w:p>
        </w:tc>
        <w:tc>
          <w:tcPr>
            <w:tcW w:type="dxa" w:w="1701"/>
          </w:tcPr>
          <w:p>
            <w:r>
              <w:rPr>
                <w:sz w:val="20"/>
              </w:rPr>
              <w:t>§5.1; §6.2</w:t>
            </w:r>
          </w:p>
        </w:tc>
        <w:tc>
          <w:tcPr>
            <w:tcW w:type="dxa" w:w="1701"/>
          </w:tcPr>
          <w:p>
            <w:r>
              <w:rPr>
                <w:sz w:val="20"/>
              </w:rPr>
              <w:t>Stage 3 (Ch 6)</w:t>
            </w:r>
          </w:p>
        </w:tc>
        <w:tc>
          <w:tcPr>
            <w:tcW w:type="dxa" w:w="1701"/>
          </w:tcPr>
          <w:p>
            <w:r>
              <w:rPr>
                <w:sz w:val="20"/>
              </w:rPr>
              <w:t>Supported as association; attribution bounded by the between-cohort design</w:t>
            </w:r>
          </w:p>
        </w:tc>
      </w:tr>
      <w:tr>
        <w:tc>
          <w:tcPr>
            <w:tcW w:type="dxa" w:w="1701"/>
          </w:tcPr>
          <w:p>
            <w:r>
              <w:rPr>
                <w:sz w:val="20"/>
              </w:rPr>
              <w:t>Adaptive-learning proposition — individual-level continuous improvement as the behavioural-change driver that can re-attach clinical purpose</w:t>
            </w:r>
          </w:p>
        </w:tc>
        <w:tc>
          <w:tcPr>
            <w:tcW w:type="dxa" w:w="1701"/>
          </w:tcPr>
          <w:p>
            <w:r>
              <w:rPr>
                <w:sz w:val="20"/>
              </w:rPr>
              <w:t>Discovery: forced by the H0 rejection and the Stage-3 commitment gap</w:t>
            </w:r>
          </w:p>
        </w:tc>
        <w:tc>
          <w:tcPr>
            <w:tcW w:type="dxa" w:w="1701"/>
          </w:tcPr>
          <w:p>
            <w:r>
              <w:rPr>
                <w:sz w:val="20"/>
              </w:rPr>
              <w:t>§6.8; Ch 7 (the adaptive-learning framework)</w:t>
            </w:r>
          </w:p>
        </w:tc>
        <w:tc>
          <w:tcPr>
            <w:tcW w:type="dxa" w:w="1701"/>
          </w:tcPr>
          <w:p>
            <w:r>
              <w:rPr>
                <w:sz w:val="20"/>
              </w:rPr>
              <w:t>Not yet tested in isolation</w:t>
            </w:r>
          </w:p>
        </w:tc>
        <w:tc>
          <w:tcPr>
            <w:tcW w:type="dxa" w:w="1701"/>
          </w:tcPr>
          <w:p>
            <w:r>
              <w:rPr>
                <w:sz w:val="20"/>
              </w:rPr>
              <w:t>Proposed; isolated evaluation pre-specified in §8.8 and instrumented in §3.6</w:t>
            </w:r>
          </w:p>
        </w:tc>
      </w:tr>
      <w:tr>
        <w:tc>
          <w:tcPr>
            <w:tcW w:type="dxa" w:w="1701"/>
          </w:tcPr>
          <w:p>
            <w:r/>
            <w:r>
              <w:rPr>
                <w:sz w:val="20"/>
              </w:rPr>
              <w:t>H0-age — under the decoupled condition, no difference between age groups</w:t>
            </w:r>
          </w:p>
        </w:tc>
        <w:tc>
          <w:tcPr>
            <w:tcW w:type="dxa" w:w="1701"/>
          </w:tcPr>
          <w:p>
            <w:r/>
            <w:r>
              <w:rPr>
                <w:sz w:val="20"/>
              </w:rPr>
              <w:t>Stage-3 cohort design (three age bands as built-in comparison groups)</w:t>
            </w:r>
          </w:p>
        </w:tc>
        <w:tc>
          <w:tcPr>
            <w:tcW w:type="dxa" w:w="1701"/>
          </w:tcPr>
          <w:p>
            <w:r/>
            <w:r>
              <w:rPr>
                <w:sz w:val="20"/>
              </w:rPr>
              <w:t>§3.2; §6.2</w:t>
            </w:r>
          </w:p>
        </w:tc>
        <w:tc>
          <w:tcPr>
            <w:tcW w:type="dxa" w:w="1701"/>
          </w:tcPr>
          <w:p>
            <w:r/>
            <w:r>
              <w:rPr>
                <w:sz w:val="20"/>
              </w:rPr>
              <w:t>Stage 3 (Ch 6): age-stratified engagement</w:t>
            </w:r>
          </w:p>
        </w:tc>
        <w:tc>
          <w:tcPr>
            <w:tcW w:type="dxa" w:w="1701"/>
          </w:tcPr>
          <w:p>
            <w:r>
              <w:t>Nullified: initial dropout 0.0% (25-44) vs 39.0% (65-80), Fisher's exact p &lt; 0.0001; non-return converges low in all bands</w:t>
            </w:r>
          </w:p>
        </w:tc>
      </w:tr>
    </w:tbl>
    <w:p w14:paraId="4EF8AFD2" w14:textId="77777777" w:rsidR="0062437E" w:rsidRDefault="00000000">
      <w:pPr>
        <w:pStyle w:val="Heading2"/>
      </w:pPr>
      <w:bookmarkStart w:id="49" w:name="_Toc232024549"/>
      <w:r>
        <w:t>3.3 Methodology Overview Infographic</w:t>
      </w:r>
      <w:bookmarkEnd w:id="49"/>
    </w:p>
    <w:p w14:paraId="357DE0EF" w14:textId="77777777" w:rsidR="0062437E" w:rsidRDefault="00000000">
      <w:pPr>
        <w:jc w:val="both"/>
      </w:pPr>
      <w:r>
        <w:t xml:space="preserve">Figure 3.1 summarises the programme as a sequence of empirical stages and theoretical revisions, and it should be read as an action-research logic model rather than as a single causal experiment. In the architecture of Table 3.1: Stage 1 is descriptive and establishes the field signal that motivates the H0 test; Stage 2 is the prospective H0 test and is mechanism-generating; Stage 3 is the attribution experiment that separates the dispositional from the coupling explanation; and Chapter 7 formalises the design discovery for future controlled testing. </w:t>
      </w:r>
      <w:r>
        <w:rPr>
          <w:b/>
          <w:highlight w:val="yellow"/>
        </w:rPr>
      </w:r>
    </w:p>
    <w:p w14:paraId="392B12E8" w14:textId="77777777" w:rsidR="0062437E" w:rsidRDefault="00000000">
      <w:pPr>
        <w:keepNext/>
        <w:spacing w:before="160" w:after="40"/>
        <w:jc w:val="center"/>
      </w:pPr>
      <w:r>
        <w:drawing>
          <wp:inline xmlns:a="http://schemas.openxmlformats.org/drawingml/2006/main" xmlns:pic="http://schemas.openxmlformats.org/drawingml/2006/picture">
            <wp:extent cx="5669280" cy="2430156"/>
            <wp:docPr id="18" name="Picture 18"/>
            <wp:cNvGraphicFramePr>
              <a:graphicFrameLocks noChangeAspect="1"/>
            </wp:cNvGraphicFramePr>
            <a:graphic>
              <a:graphicData uri="http://schemas.openxmlformats.org/drawingml/2006/picture">
                <pic:pic>
                  <pic:nvPicPr>
                    <pic:cNvPr id="0" name="fig_3_1.png"/>
                    <pic:cNvPicPr/>
                  </pic:nvPicPr>
                  <pic:blipFill>
                    <a:blip r:embed="rId27"/>
                    <a:stretch>
                      <a:fillRect/>
                    </a:stretch>
                  </pic:blipFill>
                  <pic:spPr>
                    <a:xfrm>
                      <a:off x="0" y="0"/>
                      <a:ext cx="5669280" cy="2430156"/>
                    </a:xfrm>
                    <a:prstGeom prst="rect"/>
                  </pic:spPr>
                </pic:pic>
              </a:graphicData>
            </a:graphic>
          </wp:inline>
        </w:drawing>
      </w:r>
    </w:p>
    <w:p w14:paraId="44811F34" w14:textId="77777777" w:rsidR="0062437E" w:rsidRDefault="00000000">
      <w:pPr>
        <w:pStyle w:val="FigureCaption"/>
        <w:jc w:val="center"/>
      </w:pPr>
      <w:r>
        <w:t>Figure 3.1. Three-stage action research programme as an action-research logic model: Stage 1 supplies the field signal, Stage 2 the prospective H0 test, Stage 3 the attribution experiment; the stages converge on the adaptive-learning formalisation of Chapter 7 and the confirmatory programme of §8.8. Each stage produces an empirical output and a theoretical revision.</w:t>
      </w:r>
    </w:p>
    <w:p w14:paraId="2896EE53" w14:textId="77777777" w:rsidR="0062437E" w:rsidRDefault="00000000">
      <w:pPr>
        <w:pStyle w:val="Heading2"/>
      </w:pPr>
      <w:bookmarkStart w:id="50" w:name="_Toc232024550"/>
      <w:r>
        <w:t>3.4 Ethics, Consent, Data Governance</w:t>
      </w:r>
      <w:bookmarkEnd w:id="50"/>
    </w:p>
    <w:p w14:paraId="4141B73A" w14:textId="77777777" w:rsidR="0062437E" w:rsidRDefault="00000000">
      <w:pPr>
        <w:pStyle w:val="AuthorAction"/>
        <w:jc w:val="both"/>
      </w:pPr>
      <w:r>
        <w:rPr>
          <w:i w:val="0"/>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reviewed by the PolyU Human Subjects Ethics Sub-Committee . Chapter 8 (§8.7) addresses vulnerability, disclosure, autonomy and the ethical boundary between participant-facing reframing and deception. (Approval reference and coverage statement to be inserted on receipt from the HSESC.)</w:t>
      </w:r>
    </w:p>
    <w:p w14:paraId="111EF414" w14:textId="77777777" w:rsidR="0062437E" w:rsidRDefault="00000000">
      <w:pPr>
        <w:pStyle w:val="Heading2"/>
      </w:pPr>
      <w:bookmarkStart w:id="51" w:name="_Toc232024551"/>
      <w:r>
        <w:t>3.5 Methodological Limits and Mitigations</w:t>
      </w:r>
      <w:bookmarkEnd w:id="51"/>
    </w:p>
    <w:p w14:paraId="6B866C18" w14:textId="77777777" w:rsidR="0062437E" w:rsidRDefault="00000000">
      <w:pPr>
        <w:jc w:val="both"/>
      </w:pPr>
      <w: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14:paraId="1EEDC3D7" w14:textId="77777777" w:rsidR="0062437E" w:rsidRDefault="00000000">
      <w:pPr>
        <w:jc w:val="both"/>
      </w:pPr>
      <w: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r>
        <w:rPr>
          <w:i w:val="0"/>
        </w:rPr>
        <w:t>The hypothesis architecture of Table 3.1 keeps confirmation and discovery in separate registers, and the thesis is straightforward about which is which. H0 formalises the expectation that genuinely governed the Stage-2 design when it was built — the game was engineered to satisfy the acceptance and gamification criteria precisely because the programme expected them to be sufficient. The directional hypotheses grew stage by stage in the ordinary rhythm of action research. The adaptive-learning proposition is a discovery, formed when the Stage-3 commitment gap pointed to it, and it is presented with the pride a discovery deserves alongside the confirmatory study it now makes possible (§8.8). This is the exploratory researcher's bargain: findings stated plainly, and their tests specified before anyone is asked to rely on them.</w:t>
      </w:r>
    </w:p>
    <w:p w14:paraId="227ED0F8" w14:textId="77777777" w:rsidR="0062437E" w:rsidRDefault="00000000">
      <w:pPr>
        <w:pStyle w:val="Heading2"/>
      </w:pPr>
      <w:bookmarkStart w:id="52" w:name="_Toc232024552"/>
      <w:r>
        <w:t>3.6 An Instrumentation Roadmap for the Adaptive-Learning Claim</w:t>
      </w:r>
      <w:bookmarkEnd w:id="52"/>
    </w:p>
    <w:p w14:paraId="762386F8" w14:textId="77777777" w:rsidR="0062437E" w:rsidRDefault="00000000">
      <w:pPr>
        <w:jc w:val="both"/>
      </w:pPr>
      <w: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support this indirectly through behavioural patterns; they do not measure the proposed mechanism or test the complete adaptive-learning framework. Methodological honesty therefore requires an instrumentation roadmap that converts each inferred operator into a measured variable and pre-specifies what evidence would disconfirm the account.</w:t>
      </w:r>
    </w:p>
    <w:p w14:paraId="4BFDBFDE" w14:textId="77777777" w:rsidR="0062437E" w:rsidRDefault="00000000">
      <w:pPr>
        <w:jc w:val="both"/>
      </w:pPr>
      <w: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14:paraId="60B69784" w14:textId="77777777" w:rsidR="0062437E" w:rsidRDefault="00000000">
      <w:pPr>
        <w:jc w:val="both"/>
      </w:pPr>
      <w: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14:paraId="57DF840F" w14:textId="77777777" w:rsidR="00FD5D21" w:rsidRDefault="00FD5D21">
      <w:pPr>
        <w:spacing w:after="200" w:line="276" w:lineRule="auto"/>
        <w:rPr>
          <w:rFonts w:asciiTheme="majorHAnsi" w:eastAsiaTheme="majorEastAsia" w:hAnsiTheme="majorHAnsi" w:cstheme="majorBidi"/>
          <w:b/>
          <w:bCs/>
          <w:color w:val="000000"/>
          <w:sz w:val="32"/>
          <w:szCs w:val="28"/>
        </w:rPr>
      </w:pPr>
      <w:r>
        <w:rPr>
          <w:i w:val="0"/>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14:paraId="34DA1CE0" w14:textId="77777777" w:rsidR="0062437E" w:rsidRDefault="00000000">
      <w:pPr>
        <w:pStyle w:val="Heading1"/>
        <w:pageBreakBefore/>
      </w:pPr>
      <w:r>
        <w:t>Chapter 4 Stage 1 — From FIDS to FIAS</w:t>
      </w:r>
    </w:p>
    <w:p w14:paraId="2E9286A8" w14:textId="77777777" w:rsidR="0062437E" w:rsidRDefault="00000000">
      <w:pPr>
        <w:jc w:val="both"/>
      </w:pPr>
      <w:r>
        <w:t>Based on Paper 1 (SS-293).</w:t>
      </w:r>
    </w:p>
    <w:p w14:paraId="4644A73C" w14:textId="77777777" w:rsidR="0062437E" w:rsidRDefault="00000000">
      <w:pPr>
        <w:pStyle w:val="Heading2"/>
      </w:pPr>
      <w:bookmarkStart w:id="53" w:name="_Toc232024554"/>
      <w:r>
        <w:t>4.1 Purpose</w:t>
      </w:r>
      <w:bookmarkEnd w:id="53"/>
    </w:p>
    <w:p w14:paraId="52D07838" w14:textId="77777777" w:rsidR="0062437E" w:rsidRDefault="00000000">
      <w:pPr>
        <w:jc w:val="both"/>
      </w:pPr>
      <w: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already deployed exactly the kind of technology the null hypothesis H0 (§2.3.5) says should succeed — a clinically valuable, professionally installed FRA station, free to use, well staffed — and the station stood empty. Stage 1 therefore supplies the retrospective signal that H0 was already failing in the field before this programme began. Stage 1 was not designed to validate FIAS or to identify a causal psychological mechanism.</w:t>
      </w:r>
    </w:p>
    <w:p w14:paraId="22A0EADD" w14:textId="77777777" w:rsidR="0062437E" w:rsidRDefault="00000000">
      <w:pPr>
        <w:pStyle w:val="Heading2"/>
      </w:pPr>
      <w:bookmarkStart w:id="54" w:name="_Toc232024555"/>
      <w:r>
        <w:lastRenderedPageBreak/>
        <w:t>4.1A What is Fall Risk Assessment (FRA)? Basic System Design and Features</w:t>
      </w:r>
      <w:bookmarkEnd w:id="54"/>
    </w:p>
    <w:p w14:paraId="125EF70E" w14:textId="77777777" w:rsidR="0062437E" w:rsidRDefault="00000000">
      <w:pPr>
        <w:jc w:val="both"/>
      </w:pPr>
      <w: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14:paraId="60389499" w14:textId="77777777" w:rsidR="0062437E" w:rsidRDefault="00000000">
      <w:pPr>
        <w:jc w:val="both"/>
      </w:pPr>
      <w: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14:paraId="75A99A7B" w14:textId="77777777" w:rsidR="0062437E" w:rsidRDefault="00000000">
      <w:pPr>
        <w:jc w:val="both"/>
      </w:pPr>
      <w:r>
        <w:lastRenderedPageBreak/>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14:paraId="069845EA" w14:textId="77777777" w:rsidR="0062437E" w:rsidRDefault="00000000">
      <w:pPr>
        <w:keepNext/>
        <w:spacing w:before="160" w:after="40"/>
        <w:jc w:val="center"/>
      </w:pPr>
      <w:r>
        <w:drawing>
          <wp:inline xmlns:a="http://schemas.openxmlformats.org/drawingml/2006/main" xmlns:pic="http://schemas.openxmlformats.org/drawingml/2006/pictur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14:paraId="1ABEE4C6" w14:textId="77777777" w:rsidR="0062437E" w:rsidRDefault="00000000">
      <w:pPr>
        <w:pStyle w:val="FigureCaption"/>
        <w:jc w:val="center"/>
      </w:pPr>
      <w:bookmarkStart w:id="55" w:name="_Toc232024680"/>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r>
        <w:rPr>
          <w:i/>
        </w:rPr>
        <w:t>(Photograph to be inserted here.)</w:t>
      </w:r>
    </w:p>
    <w:p>
      <w:pPr>
        <w:pStyle w:val="FigureCaption"/>
      </w:pPr>
      <w:r>
        <w:t>Figure 4.1B. The InBody FRA510S fall-risk-assessment station as installed at the Poly Group facility, Guangzhou. Photograph to be inserted by the author; facility photography consent on record.</w:t>
      </w:r>
    </w:p>
    <w:p w14:paraId="285B2D57" w14:textId="77777777" w:rsidR="0062437E" w:rsidRDefault="00000000">
      <w:pPr>
        <w:jc w:val="both"/>
      </w:pPr>
      <w: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14:paraId="4CE718EE" w14:textId="77777777" w:rsidR="0062437E" w:rsidRDefault="00000000">
      <w:pPr>
        <w:pStyle w:val="Heading2"/>
      </w:pPr>
      <w:bookmarkStart w:id="56" w:name="_Toc232024556"/>
      <w:bookmarkEnd w:id="56"/>
      <w:r>
        <w:t>4.2 The Guangzhou Survey (N = 200 of 280 Residents)</w:t>
      </w:r>
    </w:p>
    <w:p w14:paraId="58B43063" w14:textId="77777777" w:rsidR="0062437E" w:rsidRDefault="00000000">
      <w:pPr>
        <w:jc w:val="both"/>
      </w:pPr>
      <w: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Because unavailability is unlikely to correlate strongly with FRA experience, the selection risk is judged modest, though it is acknowledged with the other Stage-1 limitations in §4.8.</w:t>
      </w:r>
    </w:p>
    <w:p w14:paraId="13B11C36" w14:textId="77777777" w:rsidR="0062437E" w:rsidRDefault="00000000">
      <w:pPr>
        <w:pStyle w:val="TableCaption"/>
        <w:jc w:val="center"/>
      </w:pPr>
      <w:bookmarkStart w:id="57" w:name="_Toc232024694"/>
      <w:bookmarkEnd w:id="57"/>
      <w:r>
        <w:t>Table 4.1. Stage-1 survey results (N = 200 residents interviewed, of a resident population of 280).</w:t>
      </w:r>
    </w:p>
    <w:tbl>
      <w:tblPr>
        <w:tblStyle w:val="TableGrid"/>
        <w:tblW w:w="0" w:type="auto"/>
        <w:jc w:val="center"/>
        <w:tblLook w:val="04A0" w:firstRow="1" w:lastRow="0" w:firstColumn="1" w:lastColumn="0" w:noHBand="0" w:noVBand="1"/>
      </w:tblPr>
      <w:tblGrid>
        <w:gridCol w:w="5665"/>
        <w:gridCol w:w="1848"/>
      </w:tblGrid>
      <w:tr w:rsidR="0062437E" w14:paraId="59F6C0E4" w14:textId="77777777" w:rsidTr="006D68FE">
        <w:trPr>
          <w:jc w:val="center"/>
        </w:trPr>
        <w:tc>
          <w:tcPr>
            <w:tcW w:w="5665" w:type="dxa"/>
          </w:tcPr>
          <w:p w14:paraId="0C93F9B8" w14:textId="77777777" w:rsidR="0062437E" w:rsidRDefault="00000000">
            <w:r>
              <w:rPr>
                <w:b/>
                <w:sz w:val="20"/>
              </w:rPr>
              <w:t>Survey item</w:t>
            </w:r>
          </w:p>
        </w:tc>
        <w:tc>
          <w:tcPr>
            <w:tcW w:w="1848" w:type="dxa"/>
          </w:tcPr>
          <w:p w14:paraId="23DFC0DE" w14:textId="77777777" w:rsidR="0062437E" w:rsidRDefault="00000000">
            <w:r>
              <w:rPr>
                <w:b/>
                <w:sz w:val="20"/>
              </w:rPr>
              <w:t>Result</w:t>
            </w:r>
          </w:p>
        </w:tc>
      </w:tr>
      <w:tr w:rsidR="0062437E" w14:paraId="1C187BF4" w14:textId="77777777" w:rsidTr="006D68FE">
        <w:trPr>
          <w:jc w:val="center"/>
        </w:trPr>
        <w:tc>
          <w:tcPr>
            <w:tcW w:w="5665" w:type="dxa"/>
          </w:tcPr>
          <w:p w14:paraId="6A52C62A" w14:textId="77777777" w:rsidR="0062437E" w:rsidRDefault="00000000">
            <w:r>
              <w:rPr>
                <w:sz w:val="20"/>
              </w:rPr>
              <w:t>Ever used FRA</w:t>
            </w:r>
          </w:p>
        </w:tc>
        <w:tc>
          <w:tcPr>
            <w:tcW w:w="1848" w:type="dxa"/>
          </w:tcPr>
          <w:p w14:paraId="04892336" w14:textId="77777777" w:rsidR="0062437E" w:rsidRDefault="00000000">
            <w:r>
              <w:rPr>
                <w:sz w:val="20"/>
              </w:rPr>
              <w:t>39%</w:t>
            </w:r>
          </w:p>
        </w:tc>
      </w:tr>
      <w:tr w:rsidR="0062437E" w14:paraId="53A0D584" w14:textId="77777777" w:rsidTr="006D68FE">
        <w:trPr>
          <w:jc w:val="center"/>
        </w:trPr>
        <w:tc>
          <w:tcPr>
            <w:tcW w:w="5665" w:type="dxa"/>
          </w:tcPr>
          <w:p w14:paraId="7257EEFE" w14:textId="77777777" w:rsidR="0062437E" w:rsidRDefault="00000000">
            <w:r>
              <w:rPr>
                <w:sz w:val="20"/>
              </w:rPr>
              <w:t>Never used FRA</w:t>
            </w:r>
          </w:p>
        </w:tc>
        <w:tc>
          <w:tcPr>
            <w:tcW w:w="1848" w:type="dxa"/>
          </w:tcPr>
          <w:p w14:paraId="32787EAF" w14:textId="77777777" w:rsidR="0062437E" w:rsidRDefault="00000000">
            <w:r>
              <w:rPr>
                <w:sz w:val="20"/>
              </w:rPr>
              <w:t>61%</w:t>
            </w:r>
          </w:p>
        </w:tc>
      </w:tr>
      <w:tr w:rsidR="0062437E" w14:paraId="210A0021" w14:textId="77777777" w:rsidTr="006D68FE">
        <w:trPr>
          <w:jc w:val="center"/>
        </w:trPr>
        <w:tc>
          <w:tcPr>
            <w:tcW w:w="5665" w:type="dxa"/>
          </w:tcPr>
          <w:p w14:paraId="5C2C0FE7" w14:textId="77777777" w:rsidR="00EE7E37" w:rsidRDefault="00000000">
            <w:r>
              <w:t>Adverse/unacceptable first experience among prior users (mapping to 'failure' requires verification)</w:t>
            </w:r>
          </w:p>
        </w:tc>
        <w:tc>
          <w:tcPr>
            <w:tcW w:w="1848" w:type="dxa"/>
          </w:tcPr>
          <w:p w14:paraId="216B00CA" w14:textId="77777777" w:rsidR="0062437E" w:rsidRDefault="00000000">
            <w:r>
              <w:rPr>
                <w:sz w:val="20"/>
              </w:rPr>
              <w:t>~74%</w:t>
            </w:r>
          </w:p>
        </w:tc>
      </w:tr>
      <w:tr w:rsidR="0062437E" w14:paraId="73095B90" w14:textId="77777777" w:rsidTr="006D68FE">
        <w:trPr>
          <w:jc w:val="center"/>
        </w:trPr>
        <w:tc>
          <w:tcPr>
            <w:tcW w:w="5665" w:type="dxa"/>
          </w:tcPr>
          <w:p w14:paraId="17B3B50D" w14:textId="77777777" w:rsidR="00EE7E37" w:rsidRDefault="00000000">
            <w:r>
              <w:t>Self-reported non-return after the adverse first experience</w:t>
            </w:r>
          </w:p>
        </w:tc>
        <w:tc>
          <w:tcPr>
            <w:tcW w:w="1848" w:type="dxa"/>
          </w:tcPr>
          <w:p w14:paraId="64357D00" w14:textId="77777777" w:rsidR="0062437E" w:rsidRDefault="00000000">
            <w:r>
              <w:rPr>
                <w:sz w:val="20"/>
              </w:rPr>
              <w:t>~82%</w:t>
            </w:r>
          </w:p>
        </w:tc>
      </w:tr>
      <w:tr w:rsidR="0062437E" w14:paraId="3D27E4B6" w14:textId="77777777" w:rsidTr="006D68FE">
        <w:trPr>
          <w:jc w:val="center"/>
        </w:trPr>
        <w:tc>
          <w:tcPr>
            <w:tcW w:w="5665" w:type="dxa"/>
          </w:tcPr>
          <w:p w14:paraId="490A9919" w14:textId="77777777" w:rsidR="00EE7E37" w:rsidRDefault="00000000">
            <w:r>
              <w:t>Perceived fall-prevention benefit (source item and denominator to be verified)</w:t>
            </w:r>
          </w:p>
        </w:tc>
        <w:tc>
          <w:tcPr>
            <w:tcW w:w="1848" w:type="dxa"/>
          </w:tcPr>
          <w:p w14:paraId="36A0429A" w14:textId="77777777" w:rsidR="0062437E" w:rsidRDefault="00000000">
            <w:r>
              <w:rPr>
                <w:sz w:val="20"/>
              </w:rPr>
              <w:t>&gt;80%</w:t>
            </w:r>
          </w:p>
        </w:tc>
      </w:tr>
      <w:tr w:rsidR="0062437E" w14:paraId="247BF237" w14:textId="77777777" w:rsidTr="006D68FE">
        <w:trPr>
          <w:jc w:val="center"/>
        </w:trPr>
        <w:tc>
          <w:tcPr>
            <w:tcW w:w="5665" w:type="dxa"/>
          </w:tcPr>
          <w:p w14:paraId="3E7E00FF" w14:textId="77777777" w:rsidR="00EE7E37" w:rsidRDefault="00000000">
            <w:r>
              <w:t>Perceived physical accessibility (source item and denominator to be verified)</w:t>
            </w:r>
          </w:p>
        </w:tc>
        <w:tc>
          <w:tcPr>
            <w:tcW w:w="1848" w:type="dxa"/>
          </w:tcPr>
          <w:p w14:paraId="02F8F92D" w14:textId="77777777" w:rsidR="0062437E" w:rsidRDefault="00000000">
            <w:r>
              <w:rPr>
                <w:sz w:val="20"/>
              </w:rPr>
              <w:t>&gt;85%</w:t>
            </w:r>
          </w:p>
        </w:tc>
      </w:tr>
    </w:tbl>
    <w:p w14:paraId="4207EAAB" w14:textId="77777777" w:rsidR="0062437E" w:rsidRDefault="0062437E">
      <w:pPr>
        <w:pStyle w:val="AuthorAction"/>
        <w:spacing w:after="40"/>
      </w:pPr>
      <w:r>
        <w:rPr>
          <w:i w:val="0"/>
        </w:rPr>
        <w:t>(Item-level source verification in progress.)</w:t>
      </w:r>
    </w:p>
    <w:p w14:paraId="44C285ED" w14:textId="77777777" w:rsidR="0062437E" w:rsidRDefault="00000000">
      <w:pPr>
        <w:jc w:val="both"/>
      </w:pPr>
      <w: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The Stage-1 result is therefore a descriptive problem signature that justifies prospective study of the first adverse experience.</w:t>
      </w:r>
    </w:p>
    <w:p w14:paraId="7598ACD6" w14:textId="77777777" w:rsidR="0062437E" w:rsidRDefault="00000000">
      <w:pPr>
        <w:pStyle w:val="Heading2"/>
      </w:pPr>
      <w:bookmarkStart w:id="58" w:name="_Toc232024557"/>
      <w:r>
        <w:lastRenderedPageBreak/>
        <w:t>4.3 TAM, STAM and the Limitation for Retired Users</w:t>
      </w:r>
      <w:bookmarkEnd w:id="58"/>
    </w:p>
    <w:p w14:paraId="7D2B827A" w14:textId="77777777" w:rsidR="0062437E" w:rsidRDefault="00000000">
      <w:pPr>
        <w:jc w:val="both"/>
      </w:pPr>
      <w:r>
        <w:t>TAM was developed primarily in instrumental technology-use settings, and its Perceived Usefulness construct is usually operationalised through performance gains. For retired older adults, usefulness means something different — safety, independence, confidence, quality of life — because their acceptance criteria are formed by different life experiences and learning patterns (§2.2.1). More important for this thesis, the acceptance models describe beliefs and intentions before and during adoption; they contain no construct for a discrete post-contact failure event and its effect on later use (§2.2.3). The Stage-1 pattern is exactly the pattern such a blind spot would produce: a population that had accepted the technology in the models' terms — aware of it, able to access it, in many cases having tried it — and had then stopped, for reasons the models cannot see. This is what a retrospective failure of H0 looks like. The Stage-1 data motivate explicit study of the failure event; they do not show that positive beliefs never predict use.</w:t>
      </w:r>
    </w:p>
    <w:p w14:paraId="09398260" w14:textId="77777777" w:rsidR="0062437E" w:rsidRDefault="00000000">
      <w:pPr>
        <w:pStyle w:val="TableCaption"/>
        <w:jc w:val="center"/>
      </w:pPr>
      <w:bookmarkStart w:id="59" w:name="_Toc232024695"/>
      <w: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rsidR="0062437E" w14:paraId="6596698F" w14:textId="77777777" w:rsidTr="0051775F">
        <w:trPr>
          <w:jc w:val="center"/>
        </w:trPr>
        <w:tc>
          <w:tcPr>
            <w:tcW w:w="2689" w:type="dxa"/>
          </w:tcPr>
          <w:p w14:paraId="7E4B60AE" w14:textId="77777777" w:rsidR="0062437E" w:rsidRDefault="00000000">
            <w:r>
              <w:rPr>
                <w:b/>
                <w:sz w:val="20"/>
              </w:rPr>
              <w:t>TAM assumption</w:t>
            </w:r>
          </w:p>
        </w:tc>
        <w:tc>
          <w:tcPr>
            <w:tcW w:w="2974" w:type="dxa"/>
          </w:tcPr>
          <w:p w14:paraId="2CC9022D" w14:textId="77777777" w:rsidR="0062437E" w:rsidRDefault="00000000">
            <w:r>
              <w:rPr>
                <w:b/>
                <w:sz w:val="20"/>
              </w:rPr>
              <w:t>Reality for elderly FRA users</w:t>
            </w:r>
          </w:p>
        </w:tc>
        <w:tc>
          <w:tcPr>
            <w:tcW w:w="2832" w:type="dxa"/>
          </w:tcPr>
          <w:p w14:paraId="366541B4" w14:textId="77777777" w:rsidR="0062437E" w:rsidRDefault="00000000">
            <w:r>
              <w:rPr>
                <w:b/>
                <w:sz w:val="20"/>
              </w:rPr>
              <w:t>Consequence</w:t>
            </w:r>
          </w:p>
        </w:tc>
      </w:tr>
      <w:tr w:rsidR="0062437E" w14:paraId="7642CC06" w14:textId="77777777" w:rsidTr="0051775F">
        <w:trPr>
          <w:jc w:val="center"/>
        </w:trPr>
        <w:tc>
          <w:tcPr>
            <w:tcW w:w="2689" w:type="dxa"/>
          </w:tcPr>
          <w:p w14:paraId="565C849D" w14:textId="77777777" w:rsidR="0062437E" w:rsidRDefault="00000000">
            <w:r>
              <w:rPr>
                <w:sz w:val="20"/>
              </w:rPr>
              <w:t>Usefulness tied to job performance</w:t>
            </w:r>
          </w:p>
        </w:tc>
        <w:tc>
          <w:tcPr>
            <w:tcW w:w="2974" w:type="dxa"/>
          </w:tcPr>
          <w:p w14:paraId="365869EE" w14:textId="77777777" w:rsidR="0062437E" w:rsidRDefault="00000000">
            <w:r>
              <w:rPr>
                <w:sz w:val="20"/>
              </w:rPr>
              <w:t>Users are retired</w:t>
            </w:r>
          </w:p>
        </w:tc>
        <w:tc>
          <w:tcPr>
            <w:tcW w:w="2832" w:type="dxa"/>
          </w:tcPr>
          <w:p w14:paraId="78E4A2B4" w14:textId="77777777" w:rsidR="0062437E" w:rsidRDefault="00000000">
            <w:r>
              <w:rPr>
                <w:sz w:val="20"/>
              </w:rPr>
              <w:t>PU needs redefining</w:t>
            </w:r>
          </w:p>
        </w:tc>
      </w:tr>
      <w:tr w:rsidR="0062437E" w14:paraId="5FD98748" w14:textId="77777777" w:rsidTr="0051775F">
        <w:trPr>
          <w:jc w:val="center"/>
        </w:trPr>
        <w:tc>
          <w:tcPr>
            <w:tcW w:w="2689" w:type="dxa"/>
          </w:tcPr>
          <w:p w14:paraId="7B99ECF3" w14:textId="77777777" w:rsidR="0062437E" w:rsidRDefault="00000000">
            <w:r>
              <w:rPr>
                <w:sz w:val="20"/>
              </w:rPr>
              <w:t>Positive perceptions predict adoption</w:t>
            </w:r>
          </w:p>
        </w:tc>
        <w:tc>
          <w:tcPr>
            <w:tcW w:w="2974" w:type="dxa"/>
          </w:tcPr>
          <w:p w14:paraId="5B242056" w14:textId="77777777" w:rsidR="00EE7E37" w:rsidRDefault="00000000">
            <w:r>
              <w:t>Reported favourable beliefs coexisted with low prior use</w:t>
            </w:r>
          </w:p>
        </w:tc>
        <w:tc>
          <w:tcPr>
            <w:tcW w:w="2832" w:type="dxa"/>
          </w:tcPr>
          <w:p w14:paraId="13F9590A" w14:textId="77777777" w:rsidR="00EE7E37" w:rsidRDefault="00000000">
            <w:r>
              <w:t>Beliefs alone did not account for observed use</w:t>
            </w:r>
          </w:p>
        </w:tc>
      </w:tr>
      <w:tr w:rsidR="0062437E" w14:paraId="4F46707F" w14:textId="77777777" w:rsidTr="0051775F">
        <w:trPr>
          <w:jc w:val="center"/>
        </w:trPr>
        <w:tc>
          <w:tcPr>
            <w:tcW w:w="2689" w:type="dxa"/>
          </w:tcPr>
          <w:p w14:paraId="3727CD44" w14:textId="77777777" w:rsidR="0062437E" w:rsidRDefault="00000000">
            <w:r>
              <w:rPr>
                <w:sz w:val="20"/>
              </w:rPr>
              <w:t>Negative experience reduces acceptance gradually</w:t>
            </w:r>
          </w:p>
        </w:tc>
        <w:tc>
          <w:tcPr>
            <w:tcW w:w="2974" w:type="dxa"/>
          </w:tcPr>
          <w:p w14:paraId="0CFA8A10" w14:textId="77777777" w:rsidR="00EE7E37" w:rsidRDefault="00000000">
            <w:r>
              <w:t>Reported/observed non-return could occur abruptly within the study window</w:t>
            </w:r>
          </w:p>
        </w:tc>
        <w:tc>
          <w:tcPr>
            <w:tcW w:w="2832" w:type="dxa"/>
          </w:tcPr>
          <w:p w14:paraId="028F51EC" w14:textId="77777777" w:rsidR="00EE7E37" w:rsidRDefault="00000000">
            <w:r>
              <w:t>Standard models do not explicitly represent event-triggered non-return</w:t>
            </w:r>
          </w:p>
        </w:tc>
      </w:tr>
      <w:tr w:rsidR="0062437E" w14:paraId="28E01AB2" w14:textId="77777777" w:rsidTr="0051775F">
        <w:trPr>
          <w:jc w:val="center"/>
        </w:trPr>
        <w:tc>
          <w:tcPr>
            <w:tcW w:w="2689" w:type="dxa"/>
          </w:tcPr>
          <w:p w14:paraId="5C56A6F5" w14:textId="77777777" w:rsidR="0062437E" w:rsidRDefault="00000000">
            <w:r>
              <w:rPr>
                <w:sz w:val="20"/>
              </w:rPr>
              <w:t>No construct for failure response</w:t>
            </w:r>
          </w:p>
        </w:tc>
        <w:tc>
          <w:tcPr>
            <w:tcW w:w="2974" w:type="dxa"/>
          </w:tcPr>
          <w:p w14:paraId="034FE84A" w14:textId="77777777" w:rsidR="00EE7E37" w:rsidRDefault="00000000">
            <w:r>
              <w:t>First failure was strongly associated with observed dropout in Stage 2</w:t>
            </w:r>
          </w:p>
        </w:tc>
        <w:tc>
          <w:tcPr>
            <w:tcW w:w="2832" w:type="dxa"/>
          </w:tcPr>
          <w:p w14:paraId="2B8F05D9" w14:textId="77777777" w:rsidR="00EE7E37" w:rsidRDefault="00000000">
            <w:r>
              <w:t>Requires a post-contact, time-varying account</w:t>
            </w:r>
          </w:p>
        </w:tc>
      </w:tr>
    </w:tbl>
    <w:p w14:paraId="386CE65F" w14:textId="77777777" w:rsidR="0062437E" w:rsidRDefault="0062437E">
      <w:pPr>
        <w:spacing w:after="40"/>
      </w:pPr>
    </w:p>
    <w:p w14:paraId="44CE9DD5" w14:textId="77777777" w:rsidR="0062437E" w:rsidRDefault="00000000">
      <w:pPr>
        <w:pStyle w:val="Heading2"/>
      </w:pPr>
      <w:bookmarkStart w:id="60" w:name="_Toc232024558"/>
      <w:r>
        <w:t>4.4 Octalysis and the In-Game Loss Assumption</w:t>
      </w:r>
      <w:bookmarkEnd w:id="60"/>
    </w:p>
    <w:p w14:paraId="4589CD9E" w14:textId="77777777" w:rsidR="0062437E" w:rsidRDefault="00000000">
      <w:pPr>
        <w:jc w:val="both"/>
      </w:pPr>
      <w: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all eight drives are designer-side levers for building engagement, and the framework contains no user-side account of abandonment (§2.3.2). Stage 1's contribution to that argument is contextual — Table 4.3 shows how each relevant drive reads differently once the player is an older adult and the frame is clinical — and it prepares the inversion of D8 that the later empirical work motivated (§2.6.2C).</w:t>
      </w:r>
    </w:p>
    <w:p w14:paraId="52A20D0D" w14:textId="77777777" w:rsidR="0062437E" w:rsidRDefault="00000000">
      <w:pPr>
        <w:pStyle w:val="TableCaption"/>
        <w:jc w:val="center"/>
      </w:pPr>
      <w:bookmarkStart w:id="61" w:name="_Toc232024696"/>
      <w:r>
        <w:lastRenderedPageBreak/>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rsidR="0062437E" w14:paraId="103EE79A" w14:textId="77777777" w:rsidTr="0051775F">
        <w:trPr>
          <w:jc w:val="center"/>
        </w:trPr>
        <w:tc>
          <w:tcPr>
            <w:tcW w:w="2405" w:type="dxa"/>
          </w:tcPr>
          <w:p w14:paraId="2DDB7FB8" w14:textId="77777777" w:rsidR="0062437E" w:rsidRDefault="00000000">
            <w:r>
              <w:rPr>
                <w:b/>
                <w:sz w:val="20"/>
              </w:rPr>
              <w:t>Octalysis drive</w:t>
            </w:r>
          </w:p>
        </w:tc>
        <w:tc>
          <w:tcPr>
            <w:tcW w:w="2977" w:type="dxa"/>
          </w:tcPr>
          <w:p w14:paraId="58BF8112" w14:textId="77777777" w:rsidR="0062437E" w:rsidRDefault="00000000">
            <w:r>
              <w:rPr>
                <w:b/>
                <w:sz w:val="20"/>
              </w:rPr>
              <w:t>Standard assumption</w:t>
            </w:r>
          </w:p>
        </w:tc>
        <w:tc>
          <w:tcPr>
            <w:tcW w:w="3113" w:type="dxa"/>
          </w:tcPr>
          <w:p w14:paraId="45C77777" w14:textId="77777777" w:rsidR="00EE7E37" w:rsidRDefault="00000000">
            <w:r>
              <w:t>Context-sensitive possibility in older clinical users</w:t>
            </w:r>
          </w:p>
        </w:tc>
      </w:tr>
      <w:tr w:rsidR="0062437E" w14:paraId="5462E237" w14:textId="77777777" w:rsidTr="0051775F">
        <w:trPr>
          <w:jc w:val="center"/>
        </w:trPr>
        <w:tc>
          <w:tcPr>
            <w:tcW w:w="2405" w:type="dxa"/>
          </w:tcPr>
          <w:p w14:paraId="5847AA7A" w14:textId="77777777" w:rsidR="0062437E" w:rsidRDefault="00000000">
            <w:r>
              <w:rPr>
                <w:sz w:val="20"/>
              </w:rPr>
              <w:t>D2 Accomplishment</w:t>
            </w:r>
          </w:p>
        </w:tc>
        <w:tc>
          <w:tcPr>
            <w:tcW w:w="2977" w:type="dxa"/>
          </w:tcPr>
          <w:p w14:paraId="5063F89D" w14:textId="77777777" w:rsidR="0062437E" w:rsidRDefault="00000000">
            <w:r>
              <w:rPr>
                <w:sz w:val="20"/>
              </w:rPr>
              <w:t>Achievement challenges motivate</w:t>
            </w:r>
          </w:p>
        </w:tc>
        <w:tc>
          <w:tcPr>
            <w:tcW w:w="3113" w:type="dxa"/>
          </w:tcPr>
          <w:p w14:paraId="26458743" w14:textId="77777777" w:rsidR="0062437E" w:rsidRDefault="00000000">
            <w:r>
              <w:rPr>
                <w:sz w:val="20"/>
              </w:rPr>
              <w:t>May be undermined by failure</w:t>
            </w:r>
          </w:p>
        </w:tc>
      </w:tr>
      <w:tr w:rsidR="0062437E" w14:paraId="25638A7E" w14:textId="77777777" w:rsidTr="0051775F">
        <w:trPr>
          <w:jc w:val="center"/>
        </w:trPr>
        <w:tc>
          <w:tcPr>
            <w:tcW w:w="2405" w:type="dxa"/>
          </w:tcPr>
          <w:p w14:paraId="708D3FC1" w14:textId="77777777" w:rsidR="0062437E" w:rsidRDefault="00000000">
            <w:r>
              <w:rPr>
                <w:sz w:val="20"/>
              </w:rPr>
              <w:t>D5 Social Influence</w:t>
            </w:r>
          </w:p>
        </w:tc>
        <w:tc>
          <w:tcPr>
            <w:tcW w:w="2977" w:type="dxa"/>
          </w:tcPr>
          <w:p w14:paraId="75D3BEE7" w14:textId="77777777" w:rsidR="0062437E" w:rsidRDefault="00000000">
            <w:r>
              <w:rPr>
                <w:sz w:val="20"/>
              </w:rPr>
              <w:t>Comparison drives engagement</w:t>
            </w:r>
          </w:p>
        </w:tc>
        <w:tc>
          <w:tcPr>
            <w:tcW w:w="3113" w:type="dxa"/>
          </w:tcPr>
          <w:p w14:paraId="574FA46B" w14:textId="77777777" w:rsidR="00EE7E37" w:rsidRDefault="00000000">
            <w:r>
              <w:t>May motivate some users or increase decline-related self-awareness</w:t>
            </w:r>
          </w:p>
        </w:tc>
      </w:tr>
      <w:tr w:rsidR="0062437E" w14:paraId="42EC6CA5" w14:textId="77777777" w:rsidTr="0051775F">
        <w:trPr>
          <w:jc w:val="center"/>
        </w:trPr>
        <w:tc>
          <w:tcPr>
            <w:tcW w:w="2405" w:type="dxa"/>
          </w:tcPr>
          <w:p w14:paraId="76C4D3A5" w14:textId="77777777" w:rsidR="0062437E" w:rsidRDefault="00000000">
            <w:r>
              <w:rPr>
                <w:sz w:val="20"/>
              </w:rPr>
              <w:t>D8 Loss and Avoidance</w:t>
            </w:r>
          </w:p>
        </w:tc>
        <w:tc>
          <w:tcPr>
            <w:tcW w:w="2977" w:type="dxa"/>
          </w:tcPr>
          <w:p w14:paraId="77F852E7" w14:textId="77777777" w:rsidR="0062437E" w:rsidRDefault="00000000">
            <w:r>
              <w:rPr>
                <w:sz w:val="20"/>
              </w:rPr>
              <w:t>Fear of losing progress sustains play</w:t>
            </w:r>
          </w:p>
        </w:tc>
        <w:tc>
          <w:tcPr>
            <w:tcW w:w="3113" w:type="dxa"/>
          </w:tcPr>
          <w:p w14:paraId="0C9172C3" w14:textId="77777777" w:rsidR="00EE7E37" w:rsidRDefault="00000000">
            <w:r>
              <w:t>Adverse performance may be interpreted as personally meaningful rather than only in-game loss</w:t>
            </w:r>
          </w:p>
        </w:tc>
      </w:tr>
    </w:tbl>
    <w:p w14:paraId="0310CC90" w14:textId="77777777" w:rsidR="0062437E" w:rsidRDefault="0062437E">
      <w:pPr>
        <w:spacing w:after="40"/>
      </w:pPr>
    </w:p>
    <w:p w14:paraId="368462E4" w14:textId="77777777" w:rsidR="0062437E" w:rsidRDefault="00000000">
      <w:pPr>
        <w:pStyle w:val="Heading2"/>
      </w:pPr>
      <w:bookmarkStart w:id="62" w:name="_Toc232024559"/>
      <w:r>
        <w:t>4.5 Behavioural Science Lenses</w:t>
      </w:r>
      <w:bookmarkEnd w:id="62"/>
    </w:p>
    <w:p w14:paraId="0FD28F9D" w14:textId="77777777" w:rsidR="0062437E" w:rsidRDefault="00000000">
      <w:pPr>
        <w:jc w:val="both"/>
      </w:pPr>
      <w: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14:paraId="1BDC28CB" w14:textId="77777777" w:rsidR="0062437E" w:rsidRDefault="00000000">
      <w:pPr>
        <w:pStyle w:val="Heading2"/>
      </w:pPr>
      <w:bookmarkStart w:id="63" w:name="_Toc232024560"/>
      <w:r>
        <w:t>4.6 Terminological Correction: FIDS to FIAS</w:t>
      </w:r>
      <w:bookmarkEnd w:id="63"/>
    </w:p>
    <w:p w14:paraId="6815B468" w14:textId="77777777" w:rsidR="0062437E" w:rsidRDefault="00000000">
      <w:pPr>
        <w:jc w:val="both"/>
      </w:pPr>
      <w: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14:paraId="23B6F09F" w14:textId="77777777" w:rsidR="0062437E" w:rsidRDefault="00000000">
      <w:pPr>
        <w:jc w:val="both"/>
      </w:pPr>
      <w:r>
        <w:lastRenderedPageBreak/>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14:paraId="3C39BA63" w14:textId="77777777" w:rsidR="0062437E" w:rsidRDefault="00000000">
      <w:pPr>
        <w:pStyle w:val="Heading2"/>
      </w:pPr>
      <w:bookmarkStart w:id="64" w:name="_Toc232024561"/>
      <w:r>
        <w:t>4.7 Cross-Cultural Reference Point</w:t>
      </w:r>
      <w:bookmarkEnd w:id="64"/>
    </w:p>
    <w:p w14:paraId="0DB02B67" w14:textId="77777777" w:rsidR="0062437E" w:rsidRDefault="00000000">
      <w:pPr>
        <w:jc w:val="both"/>
      </w:pPr>
      <w:r>
        <w:t>Korean deployments of the same FRA technology provide a cross-cultural reference point. Park et al. (2019) validated the FRA system against gold-standard balance batteries in community-dwelling older adults, and Kim, Kim and Won (2018) established its test-retest reliability; both studies evidence sustained institutional use of the platform in Korea. A specific sustained-engagement figure quoted in earlier drafts originated in the vendor's catalogue material and is not carried as evidence in this thesis. The Korean comparison is therefore qualitative: whatever design lever supports sustained engagement there has not been identified in the peer-reviewed literature, and this programme is, in part, an investigation of which lever it is.</w:t>
      </w:r>
    </w:p>
    <w:p w14:paraId="3A7DD42D" w14:textId="77777777" w:rsidR="0062437E" w:rsidRDefault="00000000">
      <w:pPr>
        <w:pStyle w:val="Heading2"/>
      </w:pPr>
      <w:bookmarkStart w:id="65" w:name="_Toc232024562"/>
      <w:r>
        <w:t>4.8 Output and Stage-1 Limitations</w:t>
      </w:r>
      <w:bookmarkEnd w:id="65"/>
    </w:p>
    <w:p w14:paraId="0841A050" w14:textId="77777777" w:rsidR="0062437E" w:rsidRDefault="00000000">
      <w:pPr>
        <w:jc w:val="both"/>
      </w:pPr>
      <w:r>
        <w:t>Stage 1 produces three outputs. First, a documented utilisation and non-return problem signature: awareness without use, and self-reported non-return after adverse first experiences, in a population that satisfied every practical precondition the acceptance models name. Second, the identification of a post-contact event — the adverse first experience — that TAM, STAM and Octalysis do not represent. Third, the provisional FIAS construct and the hypotheses of Chapter 5. In the argument of this thesis, Stage 1 is the retrospective evidence consistent with the failure of the null hypothesis H0 (§2.3.5); Stage 2 provides the prospective test. Stage 1 does not validate FIAS, establish permanence, or identify mental accounting, endowment or stereotype threat as causal mechanisms; those propositions are examined prospectively in Stage 2 and probed through participant-facing decoupling in Stage 3. Its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the interviews were conducted.</w:t>
      </w:r>
    </w:p>
    <w:p w14:paraId="58AFC7FF"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66" w:name="_Toc232024563"/>
      <w:r>
        <w:br w:type="page"/>
      </w:r>
    </w:p>
    <w:p w14:paraId="6A985E8C" w14:textId="77777777" w:rsidR="0062437E" w:rsidRDefault="00000000">
      <w:pPr>
        <w:pStyle w:val="Heading1"/>
        <w:pageBreakBefore/>
      </w:pPr>
      <w:r>
        <w:lastRenderedPageBreak/>
        <w:t>Chapter 5 Stage 2 — Action Research with Gamified FRA</w:t>
      </w:r>
      <w:bookmarkEnd w:id="66"/>
    </w:p>
    <w:p w14:paraId="727003B0" w14:textId="77777777" w:rsidR="0062437E" w:rsidRDefault="00000000">
      <w:pPr>
        <w:pStyle w:val="Heading2"/>
      </w:pPr>
      <w:bookmarkStart w:id="67" w:name="_Toc232024564"/>
      <w:r>
        <w:t>5.1 Research Questions and Hypotheses</w:t>
      </w:r>
      <w:bookmarkEnd w:id="67"/>
    </w:p>
    <w:p w14:paraId="4E4A672E" w14:textId="77777777" w:rsidR="0062437E" w:rsidRDefault="00000000">
      <w:pPr>
        <w:jc w:val="both"/>
      </w:pPr>
      <w: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pPr/>
      <w:r>
        <w:t>H0 (null hypothesis, from §2.3.5): A gamified FRA satisfying TAM/STAM acceptance criteria and Octalysis motivational drives will improve elderly acceptance and intention to use, and adverse first experiences will not produce lasting abandonment. Stage 2 provides the primary prospective test of H0; H1–H4 are the directional hypotheses that structure that test.</w:t>
      </w:r>
    </w:p>
    <w:p w14:paraId="17652D4D" w14:textId="77777777" w:rsidR="0062437E" w:rsidRDefault="00000000">
      <w:pPr>
        <w:jc w:val="both"/>
      </w:pPr>
      <w:r>
        <w:t>H1: An adverse or difficult first experience is associated with early disengagement (three or fewer completed game cycles) during the eight-week study window.</w:t>
      </w:r>
    </w:p>
    <w:p w14:paraId="1F87916E" w14:textId="77777777" w:rsidR="0062437E" w:rsidRDefault="00000000">
      <w:pPr>
        <w:jc w:val="both"/>
      </w:pPr>
      <w:r>
        <w:t>H2: Re-engagement after disengagement is uncommon during the Stage-2 observation window under the coupled FRA framing.</w:t>
      </w:r>
    </w:p>
    <w:p w14:paraId="2EE2F41E" w14:textId="77777777" w:rsidR="0062437E" w:rsidRDefault="00000000">
      <w:pPr>
        <w:jc w:val="both"/>
      </w:pPr>
      <w:r>
        <w:t>H3: Social-comparison framing reduces, rather than enhances, engagement (β &lt; 0).</w:t>
      </w:r>
    </w:p>
    <w:p w14:paraId="53BBDD7E" w14:textId="77777777" w:rsidR="0062437E" w:rsidRDefault="00000000">
      <w:pPr>
        <w:jc w:val="both"/>
      </w:pPr>
      <w:r>
        <w:t>H4: A subgroup exists in which positive change in the recorded FRA index and observed non-return co-occur (the objective-score-improvement/non-return paradox).</w:t>
      </w:r>
    </w:p>
    <w:p w14:paraId="692D0642" w14:textId="77777777" w:rsidR="0062437E" w:rsidRDefault="00000000">
      <w:pPr>
        <w:jc w:val="both"/>
      </w:pPr>
      <w: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14:paraId="7F5609DC" w14:textId="77777777" w:rsidR="0062437E" w:rsidRDefault="00000000">
      <w:pPr>
        <w:pStyle w:val="Heading2"/>
      </w:pPr>
      <w:bookmarkStart w:id="68" w:name="_Toc232024565"/>
      <w:r>
        <w:t>5.2 Setting and Action-Research Approach</w:t>
      </w:r>
      <w:bookmarkEnd w:id="68"/>
    </w:p>
    <w:p w14:paraId="22C52EBD" w14:textId="77777777" w:rsidR="0062437E" w:rsidRDefault="00000000">
      <w:pPr>
        <w:jc w:val="both"/>
      </w:pPr>
      <w: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 This is what makes Stage 2 the clean prospective test of the null hypothesis H0 (§2.3.5): every practical precondition the acceptance models name was satisfied, the gamification layer was added to specification, and whatever happened next could only be attributed to how the participants experienced the gamified FRA itself.</w:t>
      </w:r>
    </w:p>
    <w:p w14:paraId="019EDF35" w14:textId="77777777" w:rsidR="0062437E" w:rsidRDefault="00000000">
      <w:pPr>
        <w:pStyle w:val="Heading2"/>
      </w:pPr>
      <w:bookmarkStart w:id="69" w:name="_Toc232024566"/>
      <w:r>
        <w:lastRenderedPageBreak/>
        <w:t>5.2A Integrating the FRA into the Skiing Game: The Dual-Purpose Mechanic in Detail</w:t>
      </w:r>
      <w:bookmarkEnd w:id="69"/>
    </w:p>
    <w:p w14:paraId="46E59FDD" w14:textId="77777777" w:rsidR="0062437E" w:rsidRDefault="00000000">
      <w:pPr>
        <w:jc w:val="both"/>
      </w:pPr>
      <w: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14:paraId="7232B02F" w14:textId="77777777" w:rsidR="0062437E" w:rsidRDefault="00000000">
      <w:pPr>
        <w:keepNext/>
        <w:spacing w:before="160" w:after="40"/>
        <w:jc w:val="center"/>
      </w:pPr>
      <w:r>
        <w:drawing>
          <wp:inline xmlns:a="http://schemas.openxmlformats.org/drawingml/2006/main" xmlns:pic="http://schemas.openxmlformats.org/drawingml/2006/picture">
            <wp:extent cx="5669280" cy="3229378"/>
            <wp:docPr id="20" name="Picture 20"/>
            <wp:cNvGraphicFramePr>
              <a:graphicFrameLocks noChangeAspect="1"/>
            </wp:cNvGraphicFramePr>
            <a:graphic>
              <a:graphicData uri="http://schemas.openxmlformats.org/drawingml/2006/picture">
                <pic:pic>
                  <pic:nvPicPr>
                    <pic:cNvPr id="0" name="fig_5_0.png"/>
                    <pic:cNvPicPr/>
                  </pic:nvPicPr>
                  <pic:blipFill>
                    <a:blip r:embed="rId29"/>
                    <a:stretch>
                      <a:fillRect/>
                    </a:stretch>
                  </pic:blipFill>
                  <pic:spPr>
                    <a:xfrm>
                      <a:off x="0" y="0"/>
                      <a:ext cx="5669280" cy="3229378"/>
                    </a:xfrm>
                    <a:prstGeom prst="rect"/>
                  </pic:spPr>
                </pic:pic>
              </a:graphicData>
            </a:graphic>
          </wp:inline>
        </w:drawing>
      </w:r>
    </w:p>
    <w:p w14:paraId="1D9DEAA5" w14:textId="77777777" w:rsidR="0062437E" w:rsidRDefault="00000000">
      <w:pPr>
        <w:pStyle w:val="FigureCaption"/>
        <w:jc w:val="center"/>
      </w:pPr>
      <w: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14:paraId="4E3F8140" w14:textId="77777777" w:rsidR="0062437E" w:rsidRDefault="00000000">
      <w:pPr>
        <w:jc w:val="both"/>
      </w:pPr>
      <w:r>
        <w:t xml:space="preserve">The integration is mediated by a small set of design parameters that have been frozen in a project-internal data file (Game_States_and_Parameters.xlsx; archived alongside this </w:t>
        <w:lastRenderedPageBreak/>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14:paraId="754E4EC3" w14:textId="77777777" w:rsidR="0062437E" w:rsidRDefault="00000000">
      <w:pPr>
        <w:jc w:val="both"/>
      </w:pPr>
      <w: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lastRenderedPageBreak/>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14:paraId="583078DD" w14:textId="77777777" w:rsidR="0062437E" w:rsidRDefault="00000000">
      <w:pPr>
        <w:pStyle w:val="TableCaption"/>
        <w:jc w:val="center"/>
      </w:pPr>
      <w:bookmarkStart w:id="70" w:name="_Toc232024697"/>
      <w: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rsidR="0062437E" w14:paraId="0039F141" w14:textId="77777777" w:rsidTr="006D68FE">
        <w:trPr>
          <w:jc w:val="center"/>
        </w:trPr>
        <w:tc>
          <w:tcPr>
            <w:tcW w:w="1271" w:type="dxa"/>
          </w:tcPr>
          <w:p w14:paraId="56999106" w14:textId="77777777" w:rsidR="0062437E" w:rsidRDefault="00000000">
            <w:r>
              <w:rPr>
                <w:b/>
                <w:sz w:val="20"/>
              </w:rPr>
              <w:t>Category</w:t>
            </w:r>
          </w:p>
        </w:tc>
        <w:tc>
          <w:tcPr>
            <w:tcW w:w="2268" w:type="dxa"/>
          </w:tcPr>
          <w:p w14:paraId="5C5D6BBE" w14:textId="77777777" w:rsidR="0062437E" w:rsidRDefault="00000000">
            <w:r>
              <w:rPr>
                <w:b/>
                <w:sz w:val="20"/>
              </w:rPr>
              <w:t>Parameter</w:t>
            </w:r>
          </w:p>
        </w:tc>
        <w:tc>
          <w:tcPr>
            <w:tcW w:w="2126" w:type="dxa"/>
          </w:tcPr>
          <w:p w14:paraId="06FB4CB1" w14:textId="77777777" w:rsidR="0062437E" w:rsidRDefault="00000000">
            <w:r>
              <w:rPr>
                <w:b/>
                <w:sz w:val="20"/>
              </w:rPr>
              <w:t>Value</w:t>
            </w:r>
          </w:p>
        </w:tc>
        <w:tc>
          <w:tcPr>
            <w:tcW w:w="2830" w:type="dxa"/>
          </w:tcPr>
          <w:p w14:paraId="71B9CEA8" w14:textId="77777777" w:rsidR="0062437E" w:rsidRDefault="00000000">
            <w:r>
              <w:rPr>
                <w:b/>
                <w:sz w:val="20"/>
              </w:rPr>
              <w:t>Role in FRA-game integration</w:t>
            </w:r>
          </w:p>
        </w:tc>
      </w:tr>
      <w:tr w:rsidR="0062437E" w14:paraId="77CA8C61" w14:textId="77777777" w:rsidTr="006D68FE">
        <w:trPr>
          <w:jc w:val="center"/>
        </w:trPr>
        <w:tc>
          <w:tcPr>
            <w:tcW w:w="1271" w:type="dxa"/>
          </w:tcPr>
          <w:p w14:paraId="49E90595" w14:textId="77777777" w:rsidR="0062437E" w:rsidRDefault="00000000">
            <w:r>
              <w:rPr>
                <w:sz w:val="20"/>
              </w:rPr>
              <w:t>Slope</w:t>
            </w:r>
          </w:p>
        </w:tc>
        <w:tc>
          <w:tcPr>
            <w:tcW w:w="2268" w:type="dxa"/>
          </w:tcPr>
          <w:p w14:paraId="0B87FD1A" w14:textId="77777777" w:rsidR="0062437E" w:rsidRDefault="00000000">
            <w:r>
              <w:rPr>
                <w:sz w:val="20"/>
              </w:rPr>
              <w:t>slopeWidth / Length / Angle</w:t>
            </w:r>
          </w:p>
        </w:tc>
        <w:tc>
          <w:tcPr>
            <w:tcW w:w="2126" w:type="dxa"/>
          </w:tcPr>
          <w:p w14:paraId="7B057362" w14:textId="77777777" w:rsidR="0062437E" w:rsidRDefault="00000000">
            <w:r>
              <w:rPr>
                <w:sz w:val="20"/>
              </w:rPr>
              <w:t>30 m / 2000 m / 12°</w:t>
            </w:r>
          </w:p>
        </w:tc>
        <w:tc>
          <w:tcPr>
            <w:tcW w:w="2830" w:type="dxa"/>
          </w:tcPr>
          <w:p w14:paraId="1B28657F" w14:textId="77777777" w:rsidR="0062437E" w:rsidRDefault="00000000">
            <w:r>
              <w:rPr>
                <w:sz w:val="20"/>
              </w:rPr>
              <w:t>Field across which lateral COP shifts are read as steering.</w:t>
            </w:r>
          </w:p>
        </w:tc>
      </w:tr>
      <w:tr w:rsidR="0062437E" w14:paraId="049A9EB0" w14:textId="77777777" w:rsidTr="006D68FE">
        <w:trPr>
          <w:jc w:val="center"/>
        </w:trPr>
        <w:tc>
          <w:tcPr>
            <w:tcW w:w="1271" w:type="dxa"/>
          </w:tcPr>
          <w:p w14:paraId="30785DE0" w14:textId="77777777" w:rsidR="0062437E" w:rsidRDefault="00000000">
            <w:r>
              <w:rPr>
                <w:sz w:val="20"/>
              </w:rPr>
              <w:t>Player</w:t>
            </w:r>
          </w:p>
        </w:tc>
        <w:tc>
          <w:tcPr>
            <w:tcW w:w="2268" w:type="dxa"/>
          </w:tcPr>
          <w:p w14:paraId="14B61ECA" w14:textId="77777777" w:rsidR="0062437E" w:rsidRDefault="00000000">
            <w:r>
              <w:rPr>
                <w:sz w:val="20"/>
              </w:rPr>
              <w:t>baseMoveSpeed / baseForwardSpeed / max</w:t>
            </w:r>
          </w:p>
        </w:tc>
        <w:tc>
          <w:tcPr>
            <w:tcW w:w="2126" w:type="dxa"/>
          </w:tcPr>
          <w:p w14:paraId="29C7D8A4" w14:textId="77777777" w:rsidR="0062437E" w:rsidRDefault="00000000">
            <w:r>
              <w:rPr>
                <w:sz w:val="20"/>
              </w:rPr>
              <w:t>8 / 12 / 30 m/s</w:t>
            </w:r>
          </w:p>
        </w:tc>
        <w:tc>
          <w:tcPr>
            <w:tcW w:w="2830" w:type="dxa"/>
          </w:tcPr>
          <w:p w14:paraId="72CEDA53" w14:textId="77777777" w:rsidR="0062437E" w:rsidRDefault="00000000">
            <w:r>
              <w:rPr>
                <w:sz w:val="20"/>
              </w:rPr>
              <w:t>Translation gain from COP shift to skier velocity.</w:t>
            </w:r>
          </w:p>
        </w:tc>
      </w:tr>
      <w:tr w:rsidR="0062437E" w14:paraId="490648D6" w14:textId="77777777" w:rsidTr="006D68FE">
        <w:trPr>
          <w:jc w:val="center"/>
        </w:trPr>
        <w:tc>
          <w:tcPr>
            <w:tcW w:w="1271" w:type="dxa"/>
          </w:tcPr>
          <w:p w14:paraId="3AC67511" w14:textId="77777777" w:rsidR="0062437E" w:rsidRDefault="00000000">
            <w:r>
              <w:rPr>
                <w:sz w:val="20"/>
              </w:rPr>
              <w:t>Balance</w:t>
            </w:r>
          </w:p>
        </w:tc>
        <w:tc>
          <w:tcPr>
            <w:tcW w:w="2268" w:type="dxa"/>
          </w:tcPr>
          <w:p w14:paraId="6A85F0AE" w14:textId="77777777" w:rsidR="0062437E" w:rsidRDefault="00000000">
            <w:r>
              <w:rPr>
                <w:sz w:val="20"/>
              </w:rPr>
              <w:t>decay / turn penalty / recovery / on-life-loss</w:t>
            </w:r>
          </w:p>
        </w:tc>
        <w:tc>
          <w:tcPr>
            <w:tcW w:w="2126" w:type="dxa"/>
          </w:tcPr>
          <w:p w14:paraId="2F6F2571" w14:textId="77777777" w:rsidR="0062437E" w:rsidRDefault="00000000">
            <w:r>
              <w:rPr>
                <w:sz w:val="20"/>
              </w:rPr>
              <w:t>0.02 / 0.15 / 0.08 per frame; 100 %→40 %</w:t>
            </w:r>
          </w:p>
        </w:tc>
        <w:tc>
          <w:tcPr>
            <w:tcW w:w="2830" w:type="dxa"/>
          </w:tcPr>
          <w:p w14:paraId="55FC3EE9" w14:textId="77777777" w:rsidR="0062437E" w:rsidRDefault="00000000">
            <w:r>
              <w:rPr>
                <w:sz w:val="20"/>
              </w:rPr>
              <w:t>In-game proxy for the COP-derived stability index used by FRA Step 1.</w:t>
            </w:r>
          </w:p>
        </w:tc>
      </w:tr>
      <w:tr w:rsidR="0062437E" w14:paraId="7A6039DB" w14:textId="77777777" w:rsidTr="006D68FE">
        <w:trPr>
          <w:jc w:val="center"/>
        </w:trPr>
        <w:tc>
          <w:tcPr>
            <w:tcW w:w="1271" w:type="dxa"/>
          </w:tcPr>
          <w:p w14:paraId="11250B91" w14:textId="77777777" w:rsidR="0062437E" w:rsidRDefault="00000000">
            <w:r>
              <w:rPr>
                <w:sz w:val="20"/>
              </w:rPr>
              <w:t>Obstacles</w:t>
            </w:r>
          </w:p>
        </w:tc>
        <w:tc>
          <w:tcPr>
            <w:tcW w:w="2268" w:type="dxa"/>
          </w:tcPr>
          <w:p w14:paraId="55397AA3" w14:textId="77777777" w:rsidR="0062437E" w:rsidRDefault="00000000">
            <w:r>
              <w:rPr>
                <w:sz w:val="20"/>
              </w:rPr>
              <w:t>density / spawn / despawn / collision radius</w:t>
            </w:r>
          </w:p>
        </w:tc>
        <w:tc>
          <w:tcPr>
            <w:tcW w:w="2126" w:type="dxa"/>
          </w:tcPr>
          <w:p w14:paraId="1922AB90" w14:textId="77777777" w:rsidR="0062437E" w:rsidRDefault="00000000">
            <w:r>
              <w:rPr>
                <w:sz w:val="20"/>
              </w:rPr>
              <w:t>0.4/m; 120 m / 30 m; 0.4–1.0 m</w:t>
            </w:r>
          </w:p>
        </w:tc>
        <w:tc>
          <w:tcPr>
            <w:tcW w:w="2830" w:type="dxa"/>
          </w:tcPr>
          <w:p w14:paraId="621C7FD0" w14:textId="77777777" w:rsidR="0062437E" w:rsidRDefault="00000000">
            <w:r>
              <w:rPr>
                <w:sz w:val="20"/>
              </w:rPr>
              <w:t>Forces COP corrections of varying amplitude across the run.</w:t>
            </w:r>
          </w:p>
        </w:tc>
      </w:tr>
      <w:tr w:rsidR="0062437E" w14:paraId="4B6E35D7" w14:textId="77777777" w:rsidTr="006D68FE">
        <w:trPr>
          <w:jc w:val="center"/>
        </w:trPr>
        <w:tc>
          <w:tcPr>
            <w:tcW w:w="1271" w:type="dxa"/>
          </w:tcPr>
          <w:p w14:paraId="58988AF5" w14:textId="77777777" w:rsidR="0062437E" w:rsidRDefault="00000000">
            <w:r>
              <w:rPr>
                <w:sz w:val="20"/>
              </w:rPr>
              <w:t>Coins</w:t>
            </w:r>
          </w:p>
        </w:tc>
        <w:tc>
          <w:tcPr>
            <w:tcW w:w="2268" w:type="dxa"/>
          </w:tcPr>
          <w:p w14:paraId="6F17B158" w14:textId="77777777" w:rsidR="0062437E" w:rsidRDefault="00000000">
            <w:r>
              <w:rPr>
                <w:sz w:val="20"/>
              </w:rPr>
              <w:t>density / value / balance bonus</w:t>
            </w:r>
          </w:p>
        </w:tc>
        <w:tc>
          <w:tcPr>
            <w:tcW w:w="2126" w:type="dxa"/>
          </w:tcPr>
          <w:p w14:paraId="7AFB5CB9" w14:textId="77777777" w:rsidR="0062437E" w:rsidRDefault="00000000">
            <w:r>
              <w:rPr>
                <w:sz w:val="20"/>
              </w:rPr>
              <w:t>0.3/m; 10 pts; 3 %</w:t>
            </w:r>
          </w:p>
        </w:tc>
        <w:tc>
          <w:tcPr>
            <w:tcW w:w="2830" w:type="dxa"/>
          </w:tcPr>
          <w:p w14:paraId="18212AA8" w14:textId="77777777" w:rsidR="0062437E" w:rsidRDefault="00000000">
            <w:r>
              <w:rPr>
                <w:sz w:val="20"/>
              </w:rPr>
              <w:t>Reward signal that supports learn-to-earn over score-floor framing.</w:t>
            </w:r>
          </w:p>
        </w:tc>
      </w:tr>
      <w:tr w:rsidR="0062437E" w14:paraId="0114CD39" w14:textId="77777777" w:rsidTr="006D68FE">
        <w:trPr>
          <w:jc w:val="center"/>
        </w:trPr>
        <w:tc>
          <w:tcPr>
            <w:tcW w:w="1271" w:type="dxa"/>
          </w:tcPr>
          <w:p w14:paraId="5E144588" w14:textId="77777777" w:rsidR="0062437E" w:rsidRDefault="00000000">
            <w:r>
              <w:rPr>
                <w:sz w:val="20"/>
              </w:rPr>
              <w:t>Lives</w:t>
            </w:r>
          </w:p>
        </w:tc>
        <w:tc>
          <w:tcPr>
            <w:tcW w:w="2268" w:type="dxa"/>
          </w:tcPr>
          <w:p w14:paraId="4ABC56BC" w14:textId="77777777" w:rsidR="0062437E" w:rsidRDefault="00000000">
            <w:r>
              <w:rPr>
                <w:sz w:val="20"/>
              </w:rPr>
              <w:t>total / cooldown / 1st-hit speed / 2nd-hit obstacle</w:t>
            </w:r>
          </w:p>
        </w:tc>
        <w:tc>
          <w:tcPr>
            <w:tcW w:w="2126" w:type="dxa"/>
          </w:tcPr>
          <w:p w14:paraId="36584C74" w14:textId="77777777" w:rsidR="0062437E" w:rsidRDefault="00000000">
            <w:r>
              <w:rPr>
                <w:sz w:val="20"/>
              </w:rPr>
              <w:t>3 / 1.5 s / × 0.7 / × 0.4 + 60 % cleared</w:t>
            </w:r>
          </w:p>
        </w:tc>
        <w:tc>
          <w:tcPr>
            <w:tcW w:w="2830" w:type="dxa"/>
          </w:tcPr>
          <w:p w14:paraId="7479D607" w14:textId="77777777" w:rsidR="0062437E" w:rsidRDefault="00000000">
            <w:r>
              <w:rPr>
                <w:sz w:val="20"/>
              </w:rPr>
              <w:t>Soft-fail buffer that supports the loss-free repertoire of §5.3.10.</w:t>
            </w:r>
          </w:p>
        </w:tc>
      </w:tr>
      <w:tr w:rsidR="0062437E" w14:paraId="63BA79E4" w14:textId="77777777" w:rsidTr="006D68FE">
        <w:trPr>
          <w:jc w:val="center"/>
        </w:trPr>
        <w:tc>
          <w:tcPr>
            <w:tcW w:w="1271" w:type="dxa"/>
          </w:tcPr>
          <w:p w14:paraId="1611AECB" w14:textId="77777777" w:rsidR="0062437E" w:rsidRDefault="00000000">
            <w:r>
              <w:rPr>
                <w:sz w:val="20"/>
              </w:rPr>
              <w:t>Difficulty</w:t>
            </w:r>
          </w:p>
        </w:tc>
        <w:tc>
          <w:tcPr>
            <w:tcW w:w="2268" w:type="dxa"/>
          </w:tcPr>
          <w:p w14:paraId="3F6B663B" w14:textId="77777777" w:rsidR="0062437E" w:rsidRDefault="00000000">
            <w:r>
              <w:rPr>
                <w:sz w:val="20"/>
              </w:rPr>
              <w:t>distance step / age × ability multiplier</w:t>
            </w:r>
          </w:p>
        </w:tc>
        <w:tc>
          <w:tcPr>
            <w:tcW w:w="2126" w:type="dxa"/>
          </w:tcPr>
          <w:p w14:paraId="163DCB87" w14:textId="77777777" w:rsidR="0062437E" w:rsidRDefault="00000000">
            <w:r>
              <w:rPr>
                <w:sz w:val="20"/>
              </w:rPr>
              <w:t>\+0.15 / 200 m; 0.42–1.43</w:t>
            </w:r>
          </w:p>
        </w:tc>
        <w:tc>
          <w:tcPr>
            <w:tcW w:w="2830" w:type="dxa"/>
          </w:tcPr>
          <w:p w14:paraId="5BB5ACFE" w14:textId="77777777" w:rsidR="0062437E" w:rsidRDefault="00000000">
            <w:r>
              <w:rPr>
                <w:sz w:val="20"/>
              </w:rPr>
              <w:t>Adaptive layer (L2) that protects the flow band for FRA-aligned cohorts.</w:t>
            </w:r>
          </w:p>
        </w:tc>
      </w:tr>
    </w:tbl>
    <w:p w14:paraId="03E31612" w14:textId="77777777" w:rsidR="0062437E" w:rsidRDefault="0062437E">
      <w:pPr>
        <w:spacing w:after="40"/>
      </w:pPr>
    </w:p>
    <w:p w14:paraId="39D255C7" w14:textId="77777777" w:rsidR="0062437E" w:rsidRDefault="00000000">
      <w:pPr>
        <w:jc w:val="both"/>
      </w:pPr>
      <w: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adaptive-learning prescription motivate; it is the natural successor build, and Figure 5.0 shows where it would be installed in the integration map (the L5–L6 block on the player-facing column).</w:t>
      </w:r>
    </w:p>
    <w:p w14:paraId="553197B2" w14:textId="77777777" w:rsidR="0062437E" w:rsidRDefault="00000000">
      <w:pPr>
        <w:jc w:val="both"/>
      </w:pPr>
      <w: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14:paraId="6A9570C9" w14:textId="77777777" w:rsidR="0062437E" w:rsidRDefault="00000000">
      <w:pPr>
        <w:pStyle w:val="Heading2"/>
      </w:pPr>
      <w:bookmarkStart w:id="71" w:name="_Toc232024567"/>
      <w:r>
        <w:t>5.3 The Gamified Intervention — Skiing Game on the InBody Pressure Panel</w:t>
      </w:r>
      <w:bookmarkEnd w:id="71"/>
    </w:p>
    <w:p w14:paraId="0214C928" w14:textId="77777777" w:rsidR="0062437E" w:rsidRDefault="00000000">
      <w:pPr>
        <w:jc w:val="both"/>
      </w:pPr>
      <w: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14:paraId="7275B9DA" w14:textId="77777777" w:rsidR="0062437E" w:rsidRDefault="00000000">
      <w:pPr>
        <w:pStyle w:val="Heading3"/>
      </w:pPr>
      <w:bookmarkStart w:id="72" w:name="_Toc232024568"/>
      <w:r>
        <w:t>5.3.1 The InBody Pressure Panel</w:t>
      </w:r>
      <w:bookmarkEnd w:id="72"/>
    </w:p>
    <w:p w14:paraId="2967D47D" w14:textId="77777777" w:rsidR="0062437E" w:rsidRDefault="00000000">
      <w:pPr>
        <w:jc w:val="both"/>
      </w:pPr>
      <w: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lastRenderedPageBreak/>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r>
        <w:rPr>
          <w:i/>
        </w:rPr>
        <w:t>(Photograph to be inserted here.)</w:t>
      </w:r>
    </w:p>
    <w:p>
      <w:pPr>
        <w:pStyle w:val="FigureCaption"/>
      </w:pPr>
      <w:r>
        <w:t>Figure 5.1A. The Stage-2 play station: the InBody pressure panel and display configured for the skiing game. Photograph to be inserted by the author.</w:t>
      </w:r>
    </w:p>
    <w:p w14:paraId="0F4F8638" w14:textId="77777777" w:rsidR="0062437E" w:rsidRDefault="00000000">
      <w:pPr>
        <w:pStyle w:val="Heading3"/>
      </w:pPr>
      <w:bookmarkStart w:id="73" w:name="_Toc232024569"/>
      <w:r>
        <w:t>5.3.2 Game Concept and Gameplay Loop</w:t>
      </w:r>
      <w:bookmarkEnd w:id="73"/>
    </w:p>
    <w:p w14:paraId="78DCDEC4" w14:textId="77777777" w:rsidR="0062437E" w:rsidRDefault="00000000">
      <w:pPr>
        <w:jc w:val="both"/>
      </w:pPr>
      <w: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14:paraId="4C5B0FE5" w14:textId="77777777" w:rsidR="0062437E" w:rsidRDefault="00000000">
      <w:pPr>
        <w:jc w:val="both"/>
      </w:pPr>
      <w: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14:paraId="5C7DA66C" w14:textId="77777777" w:rsidR="0062437E" w:rsidRDefault="00000000">
      <w:pPr>
        <w:pStyle w:val="Heading3"/>
      </w:pPr>
      <w:bookmarkStart w:id="74" w:name="_Toc232024570"/>
      <w:r>
        <w:t>5.3.3 On-Screen Display</w:t>
      </w:r>
      <w:bookmarkEnd w:id="74"/>
    </w:p>
    <w:p w14:paraId="5B665C18" w14:textId="77777777" w:rsidR="0062437E" w:rsidRDefault="00000000">
      <w:pPr>
        <w:jc w:val="both"/>
      </w:pPr>
      <w: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14:paraId="00E7DCEA" w14:textId="77777777" w:rsidR="0062437E" w:rsidRDefault="00000000">
      <w:pPr>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14:paraId="5A12A877" w14:textId="77777777" w:rsidR="0062437E" w:rsidRDefault="00000000">
      <w:pPr>
        <w:pStyle w:val="FigureCaption"/>
        <w:jc w:val="center"/>
      </w:pPr>
      <w:bookmarkStart w:id="75" w:name="_Toc232024682"/>
      <w:r>
        <w:t>Figure 5.1. Skiing game on-screen display. The skier is controlled through Centre-of-Pressure shifts on the InBody panel; trees and rocks act as obstacles, gold coins reward forward play, and a level-and-score display is anchored to the top of the screen.</w:t>
      </w:r>
      <w:bookmarkEnd w:id="75"/>
    </w:p>
    <w:p>
      <w:r>
        <w:rPr>
          <w:i/>
        </w:rPr>
        <w:t>(Screenshots to be inserted here.)</w:t>
      </w:r>
    </w:p>
    <w:p>
      <w:pPr>
        <w:pStyle w:val="FigureCaption"/>
      </w:pPr>
      <w:r>
        <w:t>Figure 5.1B. The deployed game artefact: screenshots of the skiing game at difficulty levels 1 to 5, taken from the Stage-2 build. Screenshots to be inserted by the author (see also Appendix G, item G.6).</w:t>
      </w:r>
    </w:p>
    <w:p w14:paraId="18D5C48F" w14:textId="77777777" w:rsidR="0062437E" w:rsidRDefault="00000000">
      <w:pPr>
        <w:pStyle w:val="Heading3"/>
      </w:pPr>
      <w:bookmarkStart w:id="76" w:name="_Toc232024571"/>
      <w:r>
        <w:t>5.3.4 Five-Layer Architecture</w:t>
      </w:r>
      <w:bookmarkEnd w:id="76"/>
    </w:p>
    <w:p w14:paraId="5BE27365" w14:textId="77777777" w:rsidR="0062437E" w:rsidRDefault="00000000">
      <w:pPr>
        <w:jc w:val="both"/>
      </w:pPr>
      <w: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14:paraId="1971D48B" w14:textId="77777777" w:rsidR="0062437E" w:rsidRDefault="00000000">
      <w:pPr>
        <w:keepNext/>
        <w:spacing w:before="160" w:after="40"/>
        <w:jc w:val="center"/>
      </w:pPr>
      <w:r>
        <w:drawing>
          <wp:inline xmlns:a="http://schemas.openxmlformats.org/drawingml/2006/main" xmlns:pic="http://schemas.openxmlformats.org/drawingml/2006/pictur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14:paraId="3EF38CB9" w14:textId="77777777" w:rsidR="0062437E" w:rsidRDefault="00000000">
      <w:pPr>
        <w:pStyle w:val="FigureCaption"/>
        <w:jc w:val="center"/>
      </w:pPr>
      <w:bookmarkStart w:id="77" w:name="_Toc232024683"/>
      <w:r>
        <w:t>Figure 5.2. Five-layer architecture of the gamified FRA system. The dual-purpose mechanic links Layer 0 (sensor input) and Layer 4 (clinical output) through the gameplay layers without exposing clinical numbers to the user during play.</w:t>
      </w:r>
      <w:bookmarkEnd w:id="77"/>
    </w:p>
    <w:p w14:paraId="206A5FD6" w14:textId="77777777" w:rsidR="0062437E" w:rsidRDefault="00000000">
      <w:pPr>
        <w:pStyle w:val="Heading3"/>
      </w:pPr>
      <w:bookmarkStart w:id="78" w:name="_Toc232024572"/>
      <w:r>
        <w:t>5.3.5 Automatic Difficulty Adjustment System</w:t>
      </w:r>
      <w:bookmarkEnd w:id="78"/>
    </w:p>
    <w:p w14:paraId="2BEB6B49" w14:textId="77777777" w:rsidR="0062437E" w:rsidRDefault="00000000">
      <w:pPr>
        <w:jc w:val="both"/>
      </w:pPr>
      <w:r>
        <w:t>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14:paraId="017FA17F" w14:textId="77777777" w:rsidR="0062437E" w:rsidRDefault="00000000">
      <w:pPr>
        <w:jc w:val="both"/>
      </w:pPr>
      <w: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14:paraId="18632DAD" w14:textId="77777777" w:rsidR="0062437E" w:rsidRDefault="00000000">
      <w:pPr>
        <w:pStyle w:val="Heading3"/>
      </w:pPr>
      <w:bookmarkStart w:id="79" w:name="_Toc232024573"/>
      <w:r>
        <w:t>5.3.6 Data Structures and Telemetry</w:t>
      </w:r>
      <w:bookmarkEnd w:id="79"/>
    </w:p>
    <w:p w14:paraId="2FDC0397" w14:textId="77777777" w:rsidR="0062437E" w:rsidRDefault="00000000">
      <w:pPr>
        <w:jc w:val="both"/>
      </w:pPr>
      <w: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14:paraId="2682909C" w14:textId="77777777" w:rsidR="0062437E" w:rsidRDefault="00000000">
      <w:pPr>
        <w:pStyle w:val="TableCaption"/>
        <w:jc w:val="center"/>
      </w:pPr>
      <w:bookmarkStart w:id="80" w:name="_Toc232024698"/>
      <w: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rsidR="0062437E" w14:paraId="1670991A" w14:textId="77777777" w:rsidTr="006D68FE">
        <w:trPr>
          <w:jc w:val="center"/>
        </w:trPr>
        <w:tc>
          <w:tcPr>
            <w:tcW w:w="1129" w:type="dxa"/>
          </w:tcPr>
          <w:p w14:paraId="79F27D35" w14:textId="77777777" w:rsidR="0062437E" w:rsidRDefault="00000000">
            <w:r>
              <w:rPr>
                <w:b/>
                <w:sz w:val="20"/>
              </w:rPr>
              <w:t>Dimension</w:t>
            </w:r>
          </w:p>
        </w:tc>
        <w:tc>
          <w:tcPr>
            <w:tcW w:w="7366" w:type="dxa"/>
          </w:tcPr>
          <w:p w14:paraId="66BA5C37" w14:textId="77777777" w:rsidR="0062437E" w:rsidRDefault="00000000">
            <w:r>
              <w:rPr>
                <w:b/>
                <w:sz w:val="20"/>
              </w:rPr>
              <w:t>Fields</w:t>
            </w:r>
          </w:p>
        </w:tc>
      </w:tr>
      <w:tr w:rsidR="0062437E" w14:paraId="541AD85D" w14:textId="77777777" w:rsidTr="006D68FE">
        <w:trPr>
          <w:jc w:val="center"/>
        </w:trPr>
        <w:tc>
          <w:tcPr>
            <w:tcW w:w="1129" w:type="dxa"/>
          </w:tcPr>
          <w:p w14:paraId="78AE3C3B" w14:textId="77777777" w:rsidR="0062437E" w:rsidRDefault="00000000">
            <w:r>
              <w:rPr>
                <w:sz w:val="20"/>
              </w:rPr>
              <w:t>User</w:t>
            </w:r>
          </w:p>
        </w:tc>
        <w:tc>
          <w:tcPr>
            <w:tcW w:w="7366" w:type="dxa"/>
          </w:tcPr>
          <w:p w14:paraId="4F498FB4" w14:textId="77777777" w:rsidR="0062437E" w:rsidRDefault="00000000">
            <w:r>
              <w:rPr>
                <w:sz w:val="20"/>
              </w:rPr>
              <w:t>Unique device identifier; age; sex; physical condition; vision and hearing status; cognitive function status; medications; lower-limb strength baseline; balance baseline</w:t>
            </w:r>
          </w:p>
        </w:tc>
      </w:tr>
      <w:tr w:rsidR="0062437E" w14:paraId="2A5603D3" w14:textId="77777777" w:rsidTr="006D68FE">
        <w:trPr>
          <w:jc w:val="center"/>
        </w:trPr>
        <w:tc>
          <w:tcPr>
            <w:tcW w:w="1129" w:type="dxa"/>
          </w:tcPr>
          <w:p w14:paraId="24EB37D0" w14:textId="77777777" w:rsidR="0062437E" w:rsidRDefault="00000000">
            <w:r>
              <w:rPr>
                <w:sz w:val="20"/>
              </w:rPr>
              <w:t>Game</w:t>
            </w:r>
          </w:p>
        </w:tc>
        <w:tc>
          <w:tcPr>
            <w:tcW w:w="7366" w:type="dxa"/>
          </w:tcPr>
          <w:p w14:paraId="6EC8D9BC" w14:textId="77777777" w:rsidR="0062437E" w:rsidRDefault="00000000">
            <w:r>
              <w:rPr>
                <w:sz w:val="20"/>
              </w:rPr>
              <w:t>Session identifier; difficulty level (1–5); game type; session duration; stimulus type (visual, auditory); stimulus presentation speed and frequency; user response type (COP shift)</w:t>
            </w:r>
          </w:p>
        </w:tc>
      </w:tr>
      <w:tr w:rsidR="0062437E" w14:paraId="7DC4F962" w14:textId="77777777" w:rsidTr="006D68FE">
        <w:trPr>
          <w:jc w:val="center"/>
        </w:trPr>
        <w:tc>
          <w:tcPr>
            <w:tcW w:w="1129" w:type="dxa"/>
          </w:tcPr>
          <w:p w14:paraId="40DD792A" w14:textId="77777777" w:rsidR="0062437E" w:rsidRDefault="00000000">
            <w:r>
              <w:rPr>
                <w:sz w:val="20"/>
              </w:rPr>
              <w:t>Result</w:t>
            </w:r>
          </w:p>
        </w:tc>
        <w:tc>
          <w:tcPr>
            <w:tcW w:w="7366" w:type="dxa"/>
          </w:tcPr>
          <w:p w14:paraId="0B7E0CFD" w14:textId="77777777" w:rsidR="0062437E" w:rsidRDefault="00000000">
            <w:r>
              <w:rPr>
                <w:sz w:val="20"/>
              </w:rPr>
              <w:t>Correct response rate; average reaction time; maximum and minimum reaction time; left- and right-leg strength; symmetry of leg strength; fatigue rate; game score; star rating</w:t>
            </w:r>
          </w:p>
        </w:tc>
      </w:tr>
    </w:tbl>
    <w:p w14:paraId="08A01CA4" w14:textId="77777777" w:rsidR="0062437E" w:rsidRDefault="0062437E">
      <w:pPr>
        <w:spacing w:after="40"/>
      </w:pPr>
    </w:p>
    <w:p w14:paraId="0177729C" w14:textId="77777777" w:rsidR="0062437E" w:rsidRDefault="00000000">
      <w:pPr>
        <w:pStyle w:val="Heading3"/>
      </w:pPr>
      <w:bookmarkStart w:id="81" w:name="_Toc232024574"/>
      <w:r>
        <w:t>5.3.7 Sample User Profile</w:t>
      </w:r>
      <w:bookmarkEnd w:id="81"/>
    </w:p>
    <w:p w14:paraId="5E747288" w14:textId="77777777" w:rsidR="0062437E" w:rsidRDefault="00000000">
      <w:pPr>
        <w:jc w:val="both"/>
      </w:pPr>
      <w:r>
        <w:t xml:space="preserve">As a worked example, the system was tested on a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lastRenderedPageBreak/>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w:t>
      </w:r>
    </w:p>
    <w:p w14:paraId="345ABD86" w14:textId="77777777" w:rsidR="0062437E" w:rsidRDefault="00000000">
      <w:pPr>
        <w:pStyle w:val="Heading3"/>
      </w:pPr>
      <w:bookmarkStart w:id="82" w:name="_Toc232024575"/>
      <w:r>
        <w:t>5.3.8 Why a Skiing Game?</w:t>
      </w:r>
      <w:bookmarkEnd w:id="82"/>
    </w:p>
    <w:p w14:paraId="18259520" w14:textId="77777777" w:rsidR="0062437E" w:rsidRDefault="00000000">
      <w:pPr>
        <w:jc w:val="both"/>
      </w:pPr>
      <w: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14:paraId="74D69F20" w14:textId="77777777" w:rsidR="0062437E" w:rsidRDefault="00000000">
      <w:pPr>
        <w:jc w:val="both"/>
      </w:pPr>
      <w: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14:paraId="68A378CC" w14:textId="77777777" w:rsidR="0062437E" w:rsidRDefault="00000000">
      <w:pPr>
        <w:pStyle w:val="Heading3"/>
      </w:pPr>
      <w:bookmarkStart w:id="83" w:name="_Toc232024576"/>
      <w:r>
        <w:t>5.3.9 Development Methodology: The Claude Code-Assisted Workflow</w:t>
      </w:r>
      <w:bookmarkEnd w:id="83"/>
    </w:p>
    <w:p w14:paraId="625E12C8" w14:textId="77777777" w:rsidR="0062437E" w:rsidRDefault="00000000">
      <w:pPr>
        <w:jc w:val="both"/>
      </w:pPr>
      <w: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14:paraId="4E037958" w14:textId="77777777" w:rsidR="0062437E" w:rsidRDefault="00000000">
      <w:pPr>
        <w:jc w:val="both"/>
      </w:pPr>
      <w:r>
        <w:t xml:space="preserve">The development cycle had three iterative loops. The outer loop was a design loop. A change in the user-facing experience (a new obstacle pattern, a different visual feedback scheme, a revised five-attempt rule) was first specified in a short natural-language </w:t>
        <w:lastRenderedPageBreak/>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14:paraId="7652F404" w14:textId="77777777" w:rsidR="0062437E" w:rsidRDefault="00000000">
      <w:pPr>
        <w:jc w:val="both"/>
      </w:pPr>
      <w: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14:paraId="67682F7E" w14:textId="77777777" w:rsidR="0062437E" w:rsidRDefault="00000000">
      <w:pPr>
        <w:jc w:val="both"/>
      </w:pPr>
      <w: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lastRenderedPageBreak/>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14:paraId="22F2E026" w14:textId="77777777" w:rsidR="0062437E" w:rsidRDefault="00000000">
      <w:pPr>
        <w:jc w:val="both"/>
      </w:pPr>
      <w: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14:paraId="5A8DD072" w14:textId="77777777" w:rsidR="0062437E" w:rsidRDefault="00000000">
      <w:pPr>
        <w:pStyle w:val="Heading3"/>
      </w:pPr>
      <w:bookmarkStart w:id="84" w:name="_Toc232024577"/>
      <w:r>
        <w:t>5.3.10 Dynamic Game States: An Agentic-AI-Driven, Loss-Free Game Mechanic (Secondary Contribution)</w:t>
      </w:r>
      <w:bookmarkEnd w:id="84"/>
    </w:p>
    <w:p w14:paraId="0D827990" w14:textId="77777777" w:rsidR="0062437E" w:rsidRDefault="00000000">
      <w:pPr>
        <w:jc w:val="both"/>
      </w:pPr>
      <w: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abandonment persisted, indicating that the loss driving non-return was never the in-game loss. What remained untouched in Stage 2 was the verdict: the terminal Game Over and the clinical frame around it. The zero-failure repertoire below removes the verdict; the theoretical case is §2.6.2C.</w:t>
      </w:r>
    </w:p>
    <w:p w14:paraId="617E3C1D" w14:textId="77777777" w:rsidR="0062437E" w:rsidRDefault="00000000">
      <w:pPr>
        <w:jc w:val="both"/>
      </w:pPr>
      <w: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lastRenderedPageBreak/>
        <w:t>are design specifications to be tested. Terms such as "identity-asset guard" describe the design intent, not a verified psychological mechanism.</w:t>
      </w:r>
    </w:p>
    <w:p w14:paraId="42D50438" w14:textId="77777777" w:rsidR="0062437E" w:rsidRDefault="00000000">
      <w:pPr>
        <w:keepNext/>
        <w:spacing w:before="160" w:after="40"/>
        <w:jc w:val="center"/>
      </w:pPr>
      <w:r>
        <w:drawing>
          <wp:inline xmlns:a="http://schemas.openxmlformats.org/drawingml/2006/main" xmlns:pic="http://schemas.openxmlformats.org/drawingml/2006/pictur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14:paraId="010FB077" w14:textId="77777777" w:rsidR="0062437E" w:rsidRDefault="00000000">
      <w:pPr>
        <w:pStyle w:val="FigureCaption"/>
        <w:jc w:val="cente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14:paraId="51F169B8" w14:textId="77777777" w:rsidR="0062437E" w:rsidRDefault="00000000">
      <w:pPr>
        <w:jc w:val="both"/>
      </w:pPr>
      <w: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14:paraId="3571A34B" w14:textId="77777777" w:rsidR="0062437E" w:rsidRDefault="00000000">
      <w:pPr>
        <w:jc w:val="both"/>
      </w:pPr>
      <w: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lastRenderedPageBreak/>
        <w:t>comprehension, challenge adequacy and unintended concealment of clinically important information. A "loss-free" surface must not become a challenge-free or misleading surface.</w:t>
      </w:r>
    </w:p>
    <w:p w14:paraId="63924551" w14:textId="77777777" w:rsidR="0062437E" w:rsidRDefault="00000000">
      <w:pPr>
        <w:pStyle w:val="Heading2"/>
      </w:pPr>
      <w:bookmarkStart w:id="85" w:name="_Toc232024578"/>
      <w:r>
        <w:t>5.4 Participants and Data Governance</w:t>
      </w:r>
      <w:bookmarkEnd w:id="85"/>
    </w:p>
    <w:p w14:paraId="7D7A22CB" w14:textId="77777777" w:rsidR="0062437E" w:rsidRDefault="00000000">
      <w:pPr>
        <w:jc w:val="both"/>
      </w:pPr>
      <w: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r>
        <w:rPr>
          <w:i/>
        </w:rPr>
        <w:t>(Photographs to be inserted here.)</w:t>
      </w:r>
    </w:p>
    <w:p>
      <w:pPr>
        <w:pStyle w:val="FigureCaption"/>
      </w:pPr>
      <w:r>
        <w:t>Figure 5.3A. Participants playing the skiing game on the InBody pressure panel during the Stage-2 deployment. Photographs used with written consent; identifying features obscured where required.</w:t>
      </w:r>
    </w:p>
    <w:p w14:paraId="5195B4F0" w14:textId="77777777" w:rsidR="0062437E" w:rsidRDefault="00000000">
      <w:pPr>
        <w:pStyle w:val="Heading2"/>
      </w:pPr>
      <w:bookmarkStart w:id="86" w:name="_Toc232024579"/>
      <w:r>
        <w:t>5.5 Quantitative Findings</w:t>
      </w:r>
      <w:bookmarkEnd w:id="86"/>
    </w:p>
    <w:p w14:paraId="774B4A4E" w14:textId="77777777" w:rsidR="0062437E" w:rsidRDefault="00000000">
      <w:pPr>
        <w:jc w:val="both"/>
      </w:pPr>
      <w: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younger control participants (aged 36 and 53) are reported separately,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w:t>
      </w:r>
    </w:p>
    <w:p>
      <w:r>
        <w:t>The primary outcome answers H0 directly, and negatively.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14:paraId="1E6E7A7D" w14:textId="77777777" w:rsidR="0062437E" w:rsidRDefault="00000000">
      <w:pPr>
        <w:pStyle w:val="TableCaption"/>
        <w:jc w:val="center"/>
      </w:pPr>
      <w:bookmarkStart w:id="87" w:name="_Toc232024699"/>
      <w: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rsidR="0062437E" w14:paraId="6DDF5734" w14:textId="77777777">
        <w:trPr>
          <w:jc w:val="center"/>
        </w:trPr>
        <w:tc>
          <w:tcPr>
            <w:tcW w:w="4252" w:type="dxa"/>
          </w:tcPr>
          <w:p w14:paraId="0F5DD352" w14:textId="77777777" w:rsidR="0062437E" w:rsidRDefault="00000000">
            <w:r>
              <w:rPr>
                <w:b/>
                <w:sz w:val="20"/>
              </w:rPr>
              <w:t>Engagement metric</w:t>
            </w:r>
          </w:p>
        </w:tc>
        <w:tc>
          <w:tcPr>
            <w:tcW w:w="4252" w:type="dxa"/>
          </w:tcPr>
          <w:p w14:paraId="1D80B653" w14:textId="77777777" w:rsidR="0062437E" w:rsidRDefault="00000000">
            <w:r>
              <w:rPr>
                <w:b/>
                <w:sz w:val="20"/>
              </w:rPr>
              <w:t>Value</w:t>
            </w:r>
          </w:p>
        </w:tc>
      </w:tr>
      <w:tr w:rsidR="0062437E" w14:paraId="405C8624" w14:textId="77777777">
        <w:trPr>
          <w:jc w:val="center"/>
        </w:trPr>
        <w:tc>
          <w:tcPr>
            <w:tcW w:w="4252" w:type="dxa"/>
          </w:tcPr>
          <w:p w14:paraId="2C2169EA" w14:textId="77777777" w:rsidR="0062437E" w:rsidRDefault="00000000">
            <w:r>
              <w:rPr>
                <w:sz w:val="20"/>
              </w:rPr>
              <w:t>Low engagement (≤ 3 cycles)</w:t>
            </w:r>
          </w:p>
        </w:tc>
        <w:tc>
          <w:tcPr>
            <w:tcW w:w="4252" w:type="dxa"/>
          </w:tcPr>
          <w:p w14:paraId="18E911CC" w14:textId="77777777" w:rsidR="0062437E" w:rsidRDefault="00000000">
            <w:r>
              <w:rPr>
                <w:sz w:val="20"/>
              </w:rPr>
              <w:t>21/30 (70%)</w:t>
            </w:r>
          </w:p>
        </w:tc>
      </w:tr>
      <w:tr w:rsidR="0062437E" w14:paraId="27F06D74" w14:textId="77777777">
        <w:trPr>
          <w:jc w:val="center"/>
        </w:trPr>
        <w:tc>
          <w:tcPr>
            <w:tcW w:w="4252" w:type="dxa"/>
          </w:tcPr>
          <w:p w14:paraId="3892F469" w14:textId="77777777" w:rsidR="0062437E" w:rsidRDefault="00000000">
            <w:r>
              <w:rPr>
                <w:sz w:val="20"/>
              </w:rPr>
              <w:t>Sustained (≥ 4 cycles)</w:t>
            </w:r>
          </w:p>
        </w:tc>
        <w:tc>
          <w:tcPr>
            <w:tcW w:w="4252" w:type="dxa"/>
          </w:tcPr>
          <w:p w14:paraId="78B7381B" w14:textId="77777777" w:rsidR="0062437E" w:rsidRDefault="00000000">
            <w:r>
              <w:rPr>
                <w:sz w:val="20"/>
              </w:rPr>
              <w:t>9/30 (30%)</w:t>
            </w:r>
          </w:p>
        </w:tc>
      </w:tr>
      <w:tr w:rsidR="0062437E" w14:paraId="0C506B1A" w14:textId="77777777">
        <w:trPr>
          <w:jc w:val="center"/>
        </w:trPr>
        <w:tc>
          <w:tcPr>
            <w:tcW w:w="4252" w:type="dxa"/>
          </w:tcPr>
          <w:p w14:paraId="4DA3C88B" w14:textId="77777777" w:rsidR="0062437E" w:rsidRDefault="00000000">
            <w:r>
              <w:rPr>
                <w:sz w:val="20"/>
              </w:rPr>
              <w:t>Single-session exits</w:t>
            </w:r>
          </w:p>
        </w:tc>
        <w:tc>
          <w:tcPr>
            <w:tcW w:w="4252" w:type="dxa"/>
          </w:tcPr>
          <w:p w14:paraId="1F514853" w14:textId="77777777" w:rsidR="0062437E" w:rsidRDefault="00000000">
            <w:r>
              <w:rPr>
                <w:sz w:val="20"/>
              </w:rPr>
              <w:t>8/30 (27%)</w:t>
            </w:r>
          </w:p>
        </w:tc>
      </w:tr>
      <w:tr w:rsidR="0062437E" w14:paraId="19BB12E9" w14:textId="77777777">
        <w:trPr>
          <w:jc w:val="center"/>
        </w:trPr>
        <w:tc>
          <w:tcPr>
            <w:tcW w:w="4252" w:type="dxa"/>
          </w:tcPr>
          <w:p w14:paraId="04297AD9" w14:textId="77777777" w:rsidR="00EE7E37" w:rsidRDefault="00000000">
            <w:r>
              <w:t>Observed re-engagement after disengagement within eight weeks</w:t>
            </w:r>
          </w:p>
        </w:tc>
        <w:tc>
          <w:tcPr>
            <w:tcW w:w="4252" w:type="dxa"/>
          </w:tcPr>
          <w:p w14:paraId="465A855D" w14:textId="77777777" w:rsidR="00EE7E37" w:rsidRDefault="00000000">
            <w:r>
              <w:t>0/21 low-engagement participants (0%)</w:t>
            </w:r>
          </w:p>
        </w:tc>
      </w:tr>
    </w:tbl>
    <w:p w14:paraId="38D12B1E" w14:textId="77777777" w:rsidR="0062437E" w:rsidRDefault="0062437E">
      <w:pPr>
        <w:spacing w:after="40"/>
      </w:pPr>
    </w:p>
    <w:p w14:paraId="4B6FF9C3" w14:textId="77777777" w:rsidR="0062437E" w:rsidRDefault="00000000">
      <w:pPr>
        <w:jc w:val="both"/>
      </w:pPr>
      <w:r>
        <w:t xml:space="preserve">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14:paraId="21CD7BD8" w14:textId="77777777" w:rsidR="0062437E" w:rsidRDefault="00000000">
      <w:pPr>
        <w:jc w:val="center"/>
      </w:pPr>
      <w:bookmarkStart w:id="88" w:name="_Toc232024700"/>
      <w:bookmarkEnd w:id="88"/>
      <w: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carries the evidential weight instead.</w:t>
      </w:r>
    </w:p>
    <w:p w14:paraId="2E16D01A" w14:textId="77777777" w:rsidR="00EE7E37" w:rsidRDefault="00000000">
      <w:pPr>
        <w:spacing w:before="120" w:after="80"/>
      </w:pPr>
      <w:r>
        <w:drawing>
          <wp:inline xmlns:a="http://schemas.openxmlformats.org/drawingml/2006/main" xmlns:pic="http://schemas.openxmlformats.org/drawingml/2006/pictur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14:paraId="3C3A514F" w14:textId="77777777" w:rsidR="0062437E" w:rsidRDefault="00000000">
      <w:pPr>
        <w:pStyle w:val="FigureCaption"/>
        <w:jc w:val="center"/>
      </w:pPr>
      <w: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14:paraId="244E11B4" w14:textId="77777777" w:rsidR="0062437E" w:rsidRDefault="00000000">
      <w:pPr>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a14:shadowObscured xmlns:a14="http://schemas.microsoft.com/office/drawing/2010/main"/>
                      </a:ext>
                    </a:extLst>
                  </pic:spPr>
                </pic:pic>
              </a:graphicData>
            </a:graphic>
          </wp:inline>
        </w:drawing>
      </w:r>
    </w:p>
    <w:p w14:paraId="6209DD3D" w14:textId="77777777" w:rsidR="0062437E" w:rsidRDefault="00000000">
      <w:pPr>
        <w:pStyle w:val="FigureCaption"/>
        <w:jc w:val="center"/>
      </w:pPr>
      <w:r>
        <w:t>Figure 5.5. Participant flow diagram (Stage 2, N = 30): no re-engagement was observed among the twenty-one low-engagement participants during the eight-week study window.</w:t>
      </w:r>
    </w:p>
    <w:p>
      <w:pPr>
        <w:pStyle w:val="Heading2"/>
      </w:pPr>
      <w:r>
        <w:t>5.5A Translating the Findings into Design Priorities: A QFD Pipeline</w:t>
      </w:r>
    </w:p>
    <w:p>
      <w: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r>
        <w:t>Table 5.3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TableCaption"/>
      </w:pPr>
      <w:r>
        <w:t>Table 5.3.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Pr>
                <w:sz w:val="20"/>
              </w:rPr>
            </w:r>
            <w:r>
              <w:rPr>
                <w:b/>
                <w:sz w:val="20"/>
              </w:rPr>
              <w:t>User need (voice of the user)</w:t>
            </w:r>
          </w:p>
        </w:tc>
        <w:tc>
          <w:tcPr>
            <w:tcW w:type="dxa" w:w="1215"/>
          </w:tcPr>
          <w:p>
            <w:r>
              <w:rPr>
                <w:sz w:val="20"/>
              </w:rPr>
            </w:r>
            <w:r>
              <w:rPr>
                <w:b/>
                <w:sz w:val="20"/>
              </w:rPr>
              <w:t>Evidence from the data</w:t>
            </w:r>
          </w:p>
        </w:tc>
        <w:tc>
          <w:tcPr>
            <w:tcW w:type="dxa" w:w="1215"/>
          </w:tcPr>
          <w:p>
            <w:r>
              <w:rPr>
                <w:sz w:val="20"/>
              </w:rPr>
            </w:r>
            <w:r>
              <w:rPr>
                <w:b/>
                <w:sz w:val="20"/>
              </w:rPr>
              <w:t>Construct</w:t>
            </w:r>
          </w:p>
        </w:tc>
        <w:tc>
          <w:tcPr>
            <w:tcW w:type="dxa" w:w="1215"/>
          </w:tcPr>
          <w:p>
            <w:r>
              <w:rPr>
                <w:sz w:val="20"/>
              </w:rPr>
            </w:r>
            <w:r>
              <w:rPr>
                <w:b/>
                <w:sz w:val="20"/>
              </w:rPr>
              <w:t>Adaptive difficulty (L2)</w:t>
            </w:r>
          </w:p>
        </w:tc>
        <w:tc>
          <w:tcPr>
            <w:tcW w:type="dxa" w:w="1215"/>
          </w:tcPr>
          <w:p>
            <w:r>
              <w:rPr>
                <w:sz w:val="20"/>
              </w:rPr>
            </w:r>
            <w:r>
              <w:rPr>
                <w:b/>
                <w:sz w:val="20"/>
              </w:rPr>
              <w:t>Loss-free states</w:t>
            </w:r>
          </w:p>
        </w:tc>
        <w:tc>
          <w:tcPr>
            <w:tcW w:type="dxa" w:w="1215"/>
          </w:tcPr>
          <w:p>
            <w:r>
              <w:rPr>
                <w:sz w:val="20"/>
              </w:rPr>
            </w:r>
            <w:r>
              <w:rPr>
                <w:b/>
                <w:sz w:val="20"/>
              </w:rPr>
              <w:t>Trajectory display (L5)</w:t>
            </w:r>
          </w:p>
        </w:tc>
        <w:tc>
          <w:tcPr>
            <w:tcW w:type="dxa" w:w="1215"/>
          </w:tcPr>
          <w:p>
            <w:r>
              <w:rPr>
                <w:sz w:val="20"/>
              </w:rPr>
            </w:r>
            <w:r>
              <w:rPr>
                <w:b/>
                <w:sz w:val="20"/>
              </w:rPr>
              <w:t>Coaching (L6)</w:t>
            </w:r>
          </w:p>
        </w:tc>
      </w:tr>
      <w:tr>
        <w:tc>
          <w:tcPr>
            <w:tcW w:type="dxa" w:w="1215"/>
          </w:tcPr>
          <w:p>
            <w:r>
              <w:rPr>
                <w:sz w:val="20"/>
              </w:rPr>
              <w:t>Challenge that matches my ability</w:t>
            </w:r>
          </w:p>
        </w:tc>
        <w:tc>
          <w:tcPr>
            <w:tcW w:type="dxa" w:w="1215"/>
          </w:tcPr>
          <w:p>
            <w:r>
              <w:rPr>
                <w:sz w:val="20"/>
              </w:rPr>
              <w:t>70.0% disengaged at ≤3 cycles; satisfaction 9/9 among sustained vs 11/21 (p = .013)</w:t>
            </w:r>
          </w:p>
        </w:tc>
        <w:tc>
          <w:tcPr>
            <w:tcW w:type="dxa" w:w="1215"/>
          </w:tcPr>
          <w:p>
            <w:r>
              <w:rPr>
                <w:sz w:val="20"/>
              </w:rPr>
              <w:t>Flow / PEOU (TAM)</w:t>
            </w:r>
          </w:p>
        </w:tc>
        <w:tc>
          <w:tcPr>
            <w:tcW w:type="dxa" w:w="1215"/>
          </w:tcPr>
          <w:p>
            <w:r>
              <w:rPr>
                <w:sz w:val="20"/>
              </w:rPr>
              <w:t>●</w:t>
            </w:r>
          </w:p>
        </w:tc>
        <w:tc>
          <w:tcPr>
            <w:tcW w:type="dxa" w:w="1215"/>
          </w:tcPr>
          <w:p>
            <w:r>
              <w:rPr>
                <w:sz w:val="20"/>
              </w:rPr>
              <w:t>◐</w:t>
            </w:r>
          </w:p>
        </w:tc>
        <w:tc>
          <w:tcPr>
            <w:tcW w:type="dxa" w:w="1215"/>
          </w:tcPr>
          <w:p>
            <w:r>
              <w:rPr>
                <w:sz w:val="20"/>
              </w:rPr>
            </w:r>
          </w:p>
        </w:tc>
        <w:tc>
          <w:tcPr>
            <w:tcW w:type="dxa" w:w="1215"/>
          </w:tcPr>
          <w:p>
            <w:r>
              <w:rPr>
                <w:sz w:val="20"/>
              </w:rPr>
              <w:t>◐</w:t>
            </w:r>
          </w:p>
        </w:tc>
      </w:tr>
      <w:tr>
        <w:tc>
          <w:tcPr>
            <w:tcW w:type="dxa" w:w="1215"/>
          </w:tcPr>
          <w:p>
            <w:r>
              <w:rPr>
                <w:sz w:val="20"/>
              </w:rPr>
              <w:t>Failure must not feel like a verdict about me</w:t>
            </w:r>
          </w:p>
        </w:tc>
        <w:tc>
          <w:tcPr>
            <w:tcW w:type="dxa" w:w="1215"/>
          </w:tcPr>
          <w:p>
            <w:r>
              <w:rPr>
                <w:sz w:val="20"/>
              </w:rPr>
              <w:t>0/21 re-engagement after disengagement; Stage-1: ~74% adverse first experience among prior users</w:t>
            </w:r>
          </w:p>
        </w:tc>
        <w:tc>
          <w:tcPr>
            <w:tcW w:type="dxa" w:w="1215"/>
          </w:tcPr>
          <w:p>
            <w:r>
              <w:rPr>
                <w:sz w:val="20"/>
              </w:rPr>
              <w:t>Loss aversion / D8 (Octalysis)</w:t>
            </w:r>
          </w:p>
        </w:tc>
        <w:tc>
          <w:tcPr>
            <w:tcW w:type="dxa" w:w="1215"/>
          </w:tcPr>
          <w:p>
            <w:r>
              <w:rPr>
                <w:sz w:val="20"/>
              </w:rPr>
              <w:t>◐</w:t>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Visible personal progress</w:t>
            </w:r>
          </w:p>
        </w:tc>
        <w:tc>
          <w:tcPr>
            <w:tcW w:type="dxa" w:w="1215"/>
          </w:tcPr>
          <w:p>
            <w:r>
              <w:rPr>
                <w:sz w:val="20"/>
              </w:rPr>
              <w:t>Recorded index and self-report diverge (5/8 single-session positive change, 2/8 felt improvement)</w:t>
            </w:r>
          </w:p>
        </w:tc>
        <w:tc>
          <w:tcPr>
            <w:tcW w:type="dxa" w:w="1215"/>
          </w:tcPr>
          <w:p>
            <w:r>
              <w:rPr>
                <w:sz w:val="20"/>
              </w:rPr>
              <w:t>Competence (SDT) / D2</w:t>
            </w:r>
          </w:p>
        </w:tc>
        <w:tc>
          <w:tcPr>
            <w:tcW w:type="dxa" w:w="1215"/>
          </w:tcPr>
          <w:p>
            <w:r>
              <w:rPr>
                <w:sz w:val="20"/>
              </w:rPr>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Understandable, non-clinical feedback</w:t>
            </w:r>
          </w:p>
        </w:tc>
        <w:tc>
          <w:tcPr>
            <w:tcW w:type="dxa" w:w="1215"/>
          </w:tcPr>
          <w:p>
            <w:r>
              <w:rPr>
                <w:sz w:val="20"/>
              </w:rPr>
              <w:t>60.0% self-reported improvement; satisfaction associated with staying</w:t>
            </w:r>
          </w:p>
        </w:tc>
        <w:tc>
          <w:tcPr>
            <w:tcW w:type="dxa" w:w="1215"/>
          </w:tcPr>
          <w:p>
            <w:r>
              <w:rPr>
                <w:sz w:val="20"/>
              </w:rPr>
              <w:t>Gerontechnology anxiety (STAM)</w:t>
            </w:r>
          </w:p>
        </w:tc>
        <w:tc>
          <w:tcPr>
            <w:tcW w:type="dxa" w:w="1215"/>
          </w:tcPr>
          <w:p>
            <w:r>
              <w:rPr>
                <w:sz w:val="20"/>
              </w:rPr>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Reward for effort, not only outcome</w:t>
            </w:r>
          </w:p>
        </w:tc>
        <w:tc>
          <w:tcPr>
            <w:tcW w:type="dxa" w:w="1215"/>
          </w:tcPr>
          <w:p>
            <w:r>
              <w:rPr>
                <w:sz w:val="20"/>
              </w:rPr>
              <w:t>Coin loop sustained play in completers (≥4 cycles: 9/30)</w:t>
            </w:r>
          </w:p>
        </w:tc>
        <w:tc>
          <w:tcPr>
            <w:tcW w:type="dxa" w:w="1215"/>
          </w:tcPr>
          <w:p>
            <w:r>
              <w:rPr>
                <w:sz w:val="20"/>
              </w:rPr>
              <w:t>Learn-to-earn / D4</w:t>
            </w:r>
          </w:p>
        </w:tc>
        <w:tc>
          <w:tcPr>
            <w:tcW w:type="dxa" w:w="1215"/>
          </w:tcPr>
          <w:p>
            <w:r>
              <w:rPr>
                <w:sz w:val="20"/>
              </w:rPr>
              <w:t>◐</w:t>
            </w:r>
          </w:p>
        </w:tc>
        <w:tc>
          <w:tcPr>
            <w:tcW w:type="dxa" w:w="1215"/>
          </w:tcPr>
          <w:p>
            <w:r>
              <w:rPr>
                <w:sz w:val="20"/>
              </w:rPr>
            </w:r>
          </w:p>
        </w:tc>
        <w:tc>
          <w:tcPr>
            <w:tcW w:type="dxa" w:w="1215"/>
          </w:tcPr>
          <w:p>
            <w:r>
              <w:rPr>
                <w:sz w:val="20"/>
              </w:rPr>
              <w:t>◐</w:t>
            </w:r>
          </w:p>
        </w:tc>
        <w:tc>
          <w:tcPr>
            <w:tcW w:type="dxa" w:w="1215"/>
          </w:tcPr>
          <w:p>
            <w:r>
              <w:rPr>
                <w:sz w:val="20"/>
              </w:rPr>
            </w:r>
          </w:p>
        </w:tc>
      </w:tr>
      <w:tr>
        <w:tc>
          <w:tcPr>
            <w:tcW w:type="dxa" w:w="1215"/>
          </w:tcPr>
          <w:p>
            <w:r>
              <w:rPr>
                <w:sz w:val="20"/>
              </w:rPr>
              <w:t>A reason to come back</w:t>
            </w:r>
          </w:p>
        </w:tc>
        <w:tc>
          <w:tcPr>
            <w:tcW w:type="dxa" w:w="1215"/>
          </w:tcPr>
          <w:p>
            <w:r>
              <w:rPr>
                <w:sz w:val="20"/>
              </w:rPr>
              <w:t>No observed return in Stage 2; Stage-3 decoupled cohort returned 15/23</w:t>
            </w:r>
          </w:p>
        </w:tc>
        <w:tc>
          <w:tcPr>
            <w:tcW w:type="dxa" w:w="1215"/>
          </w:tcPr>
          <w:p>
            <w:r>
              <w:rPr>
                <w:sz w:val="20"/>
              </w:rPr>
              <w:t>Behavioural intention (TAM/STAM)</w:t>
            </w:r>
          </w:p>
        </w:tc>
        <w:tc>
          <w:tcPr>
            <w:tcW w:type="dxa" w:w="1215"/>
          </w:tcPr>
          <w:p>
            <w:r>
              <w:rPr>
                <w:sz w:val="20"/>
              </w:rPr>
              <w:t>◐</w:t>
            </w:r>
          </w:p>
        </w:tc>
        <w:tc>
          <w:tcPr>
            <w:tcW w:type="dxa" w:w="1215"/>
          </w:tcPr>
          <w:p>
            <w:r>
              <w:rPr>
                <w:sz w:val="20"/>
              </w:rPr>
              <w:t>●</w:t>
            </w:r>
          </w:p>
        </w:tc>
        <w:tc>
          <w:tcPr>
            <w:tcW w:type="dxa" w:w="1215"/>
          </w:tcPr>
          <w:p>
            <w:r>
              <w:rPr>
                <w:sz w:val="20"/>
              </w:rPr>
              <w:t>●</w:t>
            </w:r>
          </w:p>
        </w:tc>
        <w:tc>
          <w:tcPr>
            <w:tcW w:type="dxa" w:w="1215"/>
          </w:tcPr>
          <w:p>
            <w:r>
              <w:rPr>
                <w:sz w:val="20"/>
              </w:rPr>
              <w:t>●</w:t>
            </w:r>
          </w:p>
        </w:tc>
      </w:tr>
    </w:tbl>
    <w:p>
      <w: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14:paraId="2F794580" w14:textId="77777777" w:rsidR="0062437E" w:rsidRDefault="00000000">
      <w:pPr>
        <w:pStyle w:val="Heading2"/>
      </w:pPr>
      <w:r>
        <w:t>5.6 The F4 Cluster and the Objective-Score-Improvement/Non-Return Paradox</w:t>
      </w:r>
    </w:p>
    <w:p w14:paraId="5A6C1F42" w14:textId="77777777" w:rsidR="0062437E" w:rsidRDefault="00000000">
      <w:pPr>
        <w:jc w:val="both"/>
      </w:pPr>
      <w:r>
        <w:rPr>
          <w:i w:val="0"/>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  Six participants clustered at scores 9-10 (F4). Three of the six recorded positive change in the FRA index during their single session and did not return during the observation period. This is termed the objective-score-improvement/non-return paradox, and it is the single observation that most clearly separates the FIAS account from the acceptance models: a technology that was demonstrably working, by its own measure, was abandoned anyway. It is exactly the pattern that the endowment row of Table 2.1 predicts — exit protects a valued self-description from revaluation, so improvement in the score does not bring the user back. The observation shows a divergence between recorded score direction and return behaviour; it does not by itself establish clinical benefit, mental-account closure or identity protection. (The item-to-composite mapping rule is specified with the codebook in Appendix B.)</w:t>
      </w:r>
    </w:p>
    <w:p w14:paraId="00F80611" w14:textId="77777777" w:rsidR="0062437E" w:rsidRDefault="00000000">
      <w:pPr>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14:paraId="460D5A8B" w14:textId="77777777" w:rsidR="0062437E" w:rsidRDefault="00000000">
      <w:pPr>
        <w:pStyle w:val="FigureCaption"/>
        <w:jc w:val="center"/>
      </w:pPr>
      <w:bookmarkStart w:id="89" w:name="_Toc232024687"/>
      <w:r>
        <w:t>Figure 5.6. Distribution of FIAS composite scores across all 30 participants. Threshold gap visible between scores 5 and 9.</w:t>
      </w:r>
      <w:bookmarkEnd w:id="89"/>
    </w:p>
    <w:p w14:paraId="09577253" w14:textId="77777777" w:rsidR="0062437E" w:rsidRDefault="00000000">
      <w:pPr>
        <w:jc w:val="both"/>
      </w:pPr>
      <w:r>
        <w:t>The empty interval in the score distribution requires cautious interpretation. It may reflect a genuine discontinuity, the mechanical effect of scoring thresholds, criterion contamination, or sampling variation in a cohort of thirty. The full codebook must specify all items, weights, decision rules, missing-data handling and the relation between predictors and outcomes. In particular, cycle count and non-return should not be used to define a score that is then claimed to predict the same outcome without an explicitly separated validation analysis. The F4 cluster rests on six participants, so every mechanism claim based on it is provisional until two independent coders apply a fixed rubric with reported agreement and the construct is evaluated in an external sample.</w:t>
      </w:r>
    </w:p>
    <w:p w14:paraId="7AC98156" w14:textId="77777777" w:rsidR="0062437E" w:rsidRDefault="00000000">
      <w:pPr>
        <w:pStyle w:val="Heading2"/>
      </w:pPr>
      <w:bookmarkStart w:id="90" w:name="_Toc232024581"/>
      <w:r>
        <w:t>5.7 Theoretical Extension: Endowment, Stereotype Threat, Domain Reframing</w:t>
      </w:r>
      <w:bookmarkEnd w:id="90"/>
    </w:p>
    <w:p w14:paraId="1F73C05F" w14:textId="77777777" w:rsidR="0062437E" w:rsidRDefault="00000000">
      <w:pPr>
        <w:jc w:val="both"/>
      </w:pPr>
      <w:r>
        <w:t>Stage 2 extended the FIAS hypothesis with three candidate theoretical components, each of which occupies a row of Table 2.1. First, identity-relevant endowment (row two) conceptualises resistance to unfavourable revaluation of a valued health self-concept — the paradox of §5.6 is its footprint.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14:paraId="36A7C737" w14:textId="77777777" w:rsidR="0062437E" w:rsidRDefault="00000000">
      <w:pPr>
        <w:keepNext/>
        <w:spacing w:before="160" w:after="40"/>
        <w:jc w:val="center"/>
      </w:pPr>
      <w:r>
        <w:drawing>
          <wp:inline xmlns:a="http://schemas.openxmlformats.org/drawingml/2006/main" xmlns:pic="http://schemas.openxmlformats.org/drawingml/2006/picture">
            <wp:extent cx="5669280" cy="2729052"/>
            <wp:docPr id="23" name="Picture 23"/>
            <wp:cNvGraphicFramePr>
              <a:graphicFrameLocks noChangeAspect="1"/>
            </wp:cNvGraphicFramePr>
            <a:graphic>
              <a:graphicData uri="http://schemas.openxmlformats.org/drawingml/2006/picture">
                <pic:pic>
                  <pic:nvPicPr>
                    <pic:cNvPr id="0" name="fig_5_7.png"/>
                    <pic:cNvPicPr/>
                  </pic:nvPicPr>
                  <pic:blipFill>
                    <a:blip r:embed="rId32"/>
                    <a:stretch>
                      <a:fillRect/>
                    </a:stretch>
                  </pic:blipFill>
                  <pic:spPr>
                    <a:xfrm>
                      <a:off x="0" y="0"/>
                      <a:ext cx="5669280" cy="2729052"/>
                    </a:xfrm>
                    <a:prstGeom prst="rect"/>
                  </pic:spPr>
                </pic:pic>
              </a:graphicData>
            </a:graphic>
          </wp:inline>
        </w:drawing>
      </w:r>
    </w:p>
    <w:p w14:paraId="5D92667D" w14:textId="77777777" w:rsidR="0062437E" w:rsidRDefault="00000000">
      <w:pPr>
        <w:pStyle w:val="FigureCaption"/>
        <w:jc w:val="cente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14:paraId="5472BD9F" w14:textId="77777777" w:rsidR="0062437E" w:rsidRDefault="00000000">
      <w:pPr>
        <w:pStyle w:val="Heading2"/>
      </w:pPr>
      <w:bookmarkStart w:id="91" w:name="_Toc232024582"/>
      <w:r>
        <w:t>5.8 Information-Entropy Lens</w:t>
      </w:r>
      <w:bookmarkEnd w:id="91"/>
    </w:p>
    <w:p w14:paraId="50E17266" w14:textId="77777777" w:rsidR="0062437E" w:rsidRDefault="00000000">
      <w:pPr>
        <w:jc w:val="both"/>
      </w:pPr>
      <w: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14:paraId="73EE93A2" w14:textId="77777777" w:rsidR="0062437E" w:rsidRDefault="00000000">
      <w:pPr>
        <w:pStyle w:val="Heading2"/>
      </w:pPr>
      <w:bookmarkStart w:id="92" w:name="_Toc232024583"/>
      <w:r>
        <w:t>5.9 Limitations and What Stage 2 Establishes</w:t>
      </w:r>
      <w:bookmarkEnd w:id="92"/>
    </w:p>
    <w:p w14:paraId="22A2B33A" w14:textId="77777777" w:rsidR="0062437E" w:rsidRDefault="00000000">
      <w:pPr>
        <w:jc w:val="both"/>
      </w:pPr>
      <w:r>
        <w:rPr>
          <w:i w:val="0"/>
        </w:rPr>
        <w:t>Stage 2 is an exploratory field study, and its boundaries are part of its design rather than flaws discovered afterwards. The sample is small and single-site, which is what allowed an embedded researcher to watch every participant's journey closely; the observation window is eight weeks, long enough to see the abandonment pattern form; the archive holds cycle counts and pre/post scores rather than timestamps, so the temporal texture of disengagement is a question for the instrumented next study. The recorded index was measured once before and once after the window on an instrument whose short-interval test-retest variability is known (Kim et al., 2018), so within-deployment change is read as a promising signal to be confirmed. Self-reports were gathered by facility staff, whose familiarity put participants at ease and may also have inclined answers toward courtesy — both effects are acknowledged. The week-2 motivational-orientation classification was withdrawn when its coding records could not be produced (§5.5); the provisional FIAS composite awaits its independent codebook; FES-I joins the baseline battery in the confirmatory study; and the clinical meaning of short-term index change is a question this thesis deliberately leaves to clinical colleagues., and not demographically diverse; the observation window is short, so nothing is claimed about sustained use beyond eight weeks. The archived dataset contains no timestamps, so the temporal structure of disengagement could not be analysed. Measurement constraints are material: the recorded index was measured once before and once after the window on a single instrument whose short-interval test-retest variability is non-trivial (Kim et al., 2018). The self-reported outcomes are vulnerable to courtesy and demand bias, since the questionnaires were administered by facility staff in a setting where participants knew the deployment was a facility initiative. the week-2 motivational-orientation classification was withdrawn because its coding records could not be produced (§5.5); the provisional FIAS composite appears to reuse cycle-count information; FES-I was not available as a baseline covariate; the embedded investigator was not complemented by an independent observer; and the clinical meaning of short-term index change was not established.</w:t>
      </w:r>
    </w:p>
    <w:p w14:paraId="56C277D5" w14:textId="77777777" w:rsidR="0062437E" w:rsidRDefault="00000000">
      <w:pPr>
        <w:jc w:val="both"/>
      </w:pPr>
      <w: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reject the null hypothesis H0 of §2.3.5: a gamified FRA that satisfied the acceptance and gamification design criteria did not sustain acceptance and use, and failure events were followed by abandonment that score improvement did not reverse.</w:t>
      </w:r>
    </w:p>
    <w:p w14:paraId="7D7C1651"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1C712FDE" w14:textId="77777777" w:rsidR="0062437E" w:rsidRDefault="00000000">
      <w:pPr>
        <w:pStyle w:val="Heading1"/>
        <w:pageBreakBefore/>
      </w:pPr>
      <w:r>
        <w:lastRenderedPageBreak/>
        <w:t>Chapter 6 Stage 3 - Participant-Facing Decoupling: Between-Cohort Evidence for a Frame-Sensitive Account</w:t>
      </w:r>
    </w:p>
    <w:p w14:paraId="3D4616AA" w14:textId="77777777" w:rsidR="0062437E" w:rsidRDefault="00000000">
      <w:pPr>
        <w:pStyle w:val="Heading2"/>
      </w:pPr>
      <w:bookmarkStart w:id="93" w:name="_Toc232024585"/>
      <w:r>
        <w:t>6.1 Why a Decoupling Stage</w:t>
      </w:r>
      <w:bookmarkEnd w:id="93"/>
    </w:p>
    <w:p w14:paraId="44E04861" w14:textId="77777777" w:rsidR="0062437E" w:rsidRDefault="00000000">
      <w:pPr>
        <w:jc w:val="both"/>
      </w:pPr>
      <w:r>
        <w:t>The rejection of H0 in Stage 2 was ambiguous between two rival explanations, and Stage 3 exists to tell them apart. The first explanation is dispositional: gamification simply does not work for frail older adults — the acceptance and gamification literatures do not transfer to this population, and the An–Cheung demonstrations do not generalise. The second is the coupling explanation: the gamification stack works exactly as the literature says, and what broke Stage 2 was the attachment of the game to a purpose-based clinical technology whose verdicts strike the identity-level concerns of older users. These explanations make opposite predictions for the same game with the clinical attachment removed. If the dispositional account is right, a decoupled game should fail with elderly users too. If the coupling account is right, a decoupled game should be accepted at roughly the levels the gamification literature predicts. Stage 3 is therefore the programme's attribution experiment — in effect, a positive control for gamification theory itself. Two secondary questions carried over from Stage 2: whether the scarcity of learning-oriented engagement suggested by Stage-2 observation (the formal classification has since been withdrawn, §5.5) was a stable cohort characteristic or a response to the clinical-game context, and whether post-failure return would appear once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14:paraId="6B459C29" w14:textId="77777777" w:rsidR="0062437E" w:rsidRDefault="00000000">
      <w:pPr>
        <w:pStyle w:val="Heading2"/>
      </w:pPr>
      <w:bookmarkStart w:id="94" w:name="_Toc232024586"/>
      <w:r>
        <w:t>6.2 Research Question and Predictions</w:t>
      </w:r>
      <w:bookmarkEnd w:id="94"/>
    </w:p>
    <w:p w14:paraId="6884B273" w14:textId="77777777" w:rsidR="0062437E" w:rsidRDefault="00000000">
      <w:pPr>
        <w:jc w:val="both"/>
      </w:pPr>
      <w:r>
        <w:rPr>
          <w:i w:val="0"/>
        </w:rPr>
        <w:t>The two rival accounts frame the predictions. Under the dispositional account, removing clinical cues changes little: elderly non-return stays high and post-failure return stays near zero. Under the coupling account, the decoupled game behaves like the elderly gamification successes in the literature. Within that frame, Stage 3 made three specific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measures frame recognition, not motivational orientation. The multi-age cohort adds a fourth, formally testable prediction: if the identity-level account is right, the engagement burden should differ by age even under decoupling — the second null hypothesis, H0-age (no difference between age groups), should fall. It does (§6.5).</w:t>
      </w:r>
    </w:p>
    <w:p w14:paraId="45BED2A6" w14:textId="77777777" w:rsidR="0062437E" w:rsidRDefault="00000000">
      <w:pPr>
        <w:pStyle w:val="Heading2"/>
      </w:pPr>
      <w:r>
        <w:t>6.3 Methodology: A Participant-Facing Decoupling Package in a Separate Cohort</w:t>
      </w:r>
    </w:p>
    <w:p w14:paraId="44A40139" w14:textId="77777777" w:rsidR="0062437E" w:rsidRDefault="00000000">
      <w:pPr>
        <w:jc w:val="both"/>
      </w:pPr>
      <w:r>
        <w:t xml:space="preserve">Stage 2 used a coupled clinical-game context that included an InBody body-composition scan, clinical pass/fail language, parallel clinical recording and repeated use of the term "assessment". Stage 3 removed these participant-facing clinical cues: no pre-session InBody scan was conducted, recruitment and session language described a coordination challenge, clinical labels were removed, and the interface was re-skinned. The same broad pressure-panel apparatus, skiing mechanic, five-attempt rule and session length were retained. These changes constitute a multi-component decoupling package. The design </w:t>
        <w:lastRenderedPageBreak/>
        <w:t>reduces variation in hardware and game mechanics but does not isolate lexical framing from procedural and architectural changes, nor from between-cohort differences.</w:t>
      </w:r>
    </w:p>
    <w:p w14:paraId="62CFB628" w14:textId="77777777" w:rsidR="0062437E" w:rsidRDefault="00000000">
      <w:pPr>
        <w:pStyle w:val="Heading2"/>
      </w:pPr>
      <w:bookmarkStart w:id="95" w:name="_Toc232024588"/>
      <w:r>
        <w:t>6.4 Participants and Apparatus</w:t>
      </w:r>
      <w:bookmarkEnd w:id="95"/>
    </w:p>
    <w:p w14:paraId="558BFD30" w14:textId="77777777" w:rsidR="0062437E" w:rsidRDefault="00000000">
      <w:pPr>
        <w:jc w:val="both"/>
      </w:pPr>
      <w:r>
        <w:t>One hundred and twenty adults aged 25-80 were recruited through Hong Kong community channels: 38 aged 25-44, 41 aged 45-64 and 41 aged 65-80. Recruitment materials referred to a coordination challenge and did not use medical or fall-prevention language. Sessions used the same broad pressure-panel and skiing-game configuration as Stage 2, with participant-facing clinical labels removed. Of the 120 participants, 48 were male and 72 female, and all reported high-school education or above.</w:t>
      </w:r>
    </w:p>
    <w:p>
      <w:r>
        <w:rPr>
          <w:i w:val="0"/>
        </w:rPr>
        <w:t>(Protocol documentation to be inserted.)</w:t>
      </w:r>
    </w:p>
    <w:p>
      <w:r>
        <w:t>Stage-3 data collection is complete. The participant-level records — paper questionnaires, staff session logs and terminal exports — are held in the study archive, and the full participant-level analysis is in progress. Preliminary aggregate results have been compiled while that analysis proceeds, and Chapter 6 reports that preliminary record. The data logbook (Appendix G, item G.3) holds the preliminary aggregate results and a reconciliation sheet whose live formulas recompute every preliminary indicator from the participant-level entries, so the full analysis can be verified against the preliminary record as it is completed.</w:t>
      </w:r>
    </w:p>
    <w:p>
      <w:r>
        <w:rPr>
          <w:i/>
        </w:rPr>
        <w:t>(Photograph to be inserted here.)</w:t>
      </w:r>
    </w:p>
    <w:p>
      <w:pPr>
        <w:pStyle w:val="FigureCaption"/>
      </w:pPr>
      <w:r>
        <w:t>Figure 6.0A. The Stage-3 decoupled deployment at the Hong Kong community site. Photograph to be inserted by the author; written consent on record.</w:t>
      </w:r>
    </w:p>
    <w:p w14:paraId="767D0069" w14:textId="77777777" w:rsidR="0062437E" w:rsidRDefault="00000000">
      <w:pPr>
        <w:pStyle w:val="Heading2"/>
      </w:pPr>
      <w:bookmarkStart w:id="96" w:name="_Toc232024589"/>
      <w:r>
        <w:t>6.5 Findings: A Substantial Behavioural Shift</w:t>
      </w:r>
      <w:bookmarkEnd w:id="96"/>
    </w:p>
    <w:p w14:paraId="3485C484" w14:textId="77777777" w:rsidR="0062437E" w:rsidRDefault="00000000">
      <w:pPr>
        <w:pStyle w:val="TableCaption"/>
        <w:jc w:val="center"/>
      </w:pPr>
      <w:bookmarkStart w:id="97" w:name="_Toc232024701"/>
      <w: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rsidR="0062437E" w14:paraId="32669594" w14:textId="77777777">
        <w:trPr>
          <w:jc w:val="center"/>
        </w:trPr>
        <w:tc>
          <w:tcPr>
            <w:tcW w:w="2835" w:type="dxa"/>
          </w:tcPr>
          <w:p w14:paraId="0AD0C5E9" w14:textId="77777777" w:rsidR="0062437E" w:rsidRDefault="00000000">
            <w:r>
              <w:rPr>
                <w:b/>
                <w:sz w:val="20"/>
              </w:rPr>
              <w:t>Engagement metric</w:t>
            </w:r>
          </w:p>
        </w:tc>
        <w:tc>
          <w:tcPr>
            <w:tcW w:w="2835" w:type="dxa"/>
          </w:tcPr>
          <w:p w14:paraId="064539D7" w14:textId="77777777" w:rsidR="0062437E" w:rsidRDefault="00000000">
            <w:r>
              <w:rPr>
                <w:b/>
                <w:sz w:val="20"/>
              </w:rPr>
              <w:t>Count</w:t>
            </w:r>
          </w:p>
        </w:tc>
        <w:tc>
          <w:tcPr>
            <w:tcW w:w="2835" w:type="dxa"/>
          </w:tcPr>
          <w:p w14:paraId="28C89771" w14:textId="77777777" w:rsidR="0062437E" w:rsidRDefault="00000000">
            <w:r>
              <w:rPr>
                <w:b/>
                <w:sz w:val="20"/>
              </w:rPr>
              <w:t>Percentage</w:t>
            </w:r>
          </w:p>
        </w:tc>
      </w:tr>
      <w:tr w:rsidR="0062437E" w14:paraId="6E90285C" w14:textId="77777777">
        <w:trPr>
          <w:jc w:val="center"/>
        </w:trPr>
        <w:tc>
          <w:tcPr>
            <w:tcW w:w="2835" w:type="dxa"/>
          </w:tcPr>
          <w:p w14:paraId="24852C34" w14:textId="77777777" w:rsidR="0062437E" w:rsidRDefault="00000000">
            <w:r>
              <w:rPr>
                <w:sz w:val="20"/>
              </w:rPr>
              <w:t>Initial dropout</w:t>
            </w:r>
          </w:p>
        </w:tc>
        <w:tc>
          <w:tcPr>
            <w:tcW w:w="2835" w:type="dxa"/>
          </w:tcPr>
          <w:p w14:paraId="23FD8DC6" w14:textId="77777777" w:rsidR="0062437E" w:rsidRDefault="00000000">
            <w:r>
              <w:rPr>
                <w:sz w:val="20"/>
              </w:rPr>
              <w:t>23/120</w:t>
            </w:r>
          </w:p>
        </w:tc>
        <w:tc>
          <w:tcPr>
            <w:tcW w:w="2835" w:type="dxa"/>
          </w:tcPr>
          <w:p w14:paraId="5134B853" w14:textId="77777777" w:rsidR="0062437E" w:rsidRDefault="00000000">
            <w:r>
              <w:rPr>
                <w:sz w:val="20"/>
              </w:rPr>
              <w:t>19.2</w:t>
            </w:r>
          </w:p>
        </w:tc>
      </w:tr>
      <w:tr w:rsidR="0062437E" w14:paraId="121B2D53" w14:textId="77777777">
        <w:trPr>
          <w:jc w:val="center"/>
        </w:trPr>
        <w:tc>
          <w:tcPr>
            <w:tcW w:w="2835" w:type="dxa"/>
          </w:tcPr>
          <w:p w14:paraId="2B6933F4" w14:textId="77777777" w:rsidR="0062437E" w:rsidRDefault="00000000">
            <w:r>
              <w:rPr>
                <w:sz w:val="20"/>
              </w:rPr>
              <w:t>Returned after dropout</w:t>
            </w:r>
          </w:p>
        </w:tc>
        <w:tc>
          <w:tcPr>
            <w:tcW w:w="2835" w:type="dxa"/>
          </w:tcPr>
          <w:p w14:paraId="7DFAEC15" w14:textId="77777777" w:rsidR="0062437E" w:rsidRDefault="00000000">
            <w:r>
              <w:rPr>
                <w:sz w:val="20"/>
              </w:rPr>
              <w:t>15/23</w:t>
            </w:r>
          </w:p>
        </w:tc>
        <w:tc>
          <w:tcPr>
            <w:tcW w:w="2835" w:type="dxa"/>
          </w:tcPr>
          <w:p w14:paraId="1E3FD6AB" w14:textId="77777777" w:rsidR="0062437E" w:rsidRDefault="00000000">
            <w:r>
              <w:rPr>
                <w:sz w:val="20"/>
              </w:rPr>
              <w:t>65.2</w:t>
            </w:r>
          </w:p>
        </w:tc>
      </w:tr>
      <w:tr w:rsidR="0062437E" w14:paraId="38998223" w14:textId="77777777">
        <w:trPr>
          <w:jc w:val="center"/>
        </w:trPr>
        <w:tc>
          <w:tcPr>
            <w:tcW w:w="2835" w:type="dxa"/>
          </w:tcPr>
          <w:p w14:paraId="37A67C67" w14:textId="77777777" w:rsidR="00EE7E37" w:rsidRDefault="00000000">
            <w:r>
              <w:t>Observed non-return at end of Stage-3 window</w:t>
            </w:r>
          </w:p>
        </w:tc>
        <w:tc>
          <w:tcPr>
            <w:tcW w:w="2835" w:type="dxa"/>
          </w:tcPr>
          <w:p w14:paraId="08FF5E8D" w14:textId="77777777" w:rsidR="0062437E" w:rsidRDefault="00000000">
            <w:r>
              <w:rPr>
                <w:sz w:val="20"/>
              </w:rPr>
              <w:t>8/120</w:t>
            </w:r>
          </w:p>
        </w:tc>
        <w:tc>
          <w:tcPr>
            <w:tcW w:w="2835" w:type="dxa"/>
          </w:tcPr>
          <w:p w14:paraId="47DB069D" w14:textId="77777777" w:rsidR="0062437E" w:rsidRDefault="00000000">
            <w:r>
              <w:rPr>
                <w:sz w:val="20"/>
              </w:rPr>
              <w:t>6.7</w:t>
            </w:r>
          </w:p>
        </w:tc>
      </w:tr>
      <w:tr w:rsidR="0062437E" w14:paraId="0361EEB8" w14:textId="77777777">
        <w:trPr>
          <w:jc w:val="center"/>
        </w:trPr>
        <w:tc>
          <w:tcPr>
            <w:tcW w:w="2835" w:type="dxa"/>
          </w:tcPr>
          <w:p w14:paraId="74224F08" w14:textId="77777777" w:rsidR="0062437E" w:rsidRDefault="00000000">
            <w:r>
              <w:rPr>
                <w:sz w:val="20"/>
              </w:rPr>
              <w:t>Overall retention</w:t>
            </w:r>
          </w:p>
        </w:tc>
        <w:tc>
          <w:tcPr>
            <w:tcW w:w="2835" w:type="dxa"/>
          </w:tcPr>
          <w:p w14:paraId="633EC956" w14:textId="77777777" w:rsidR="0062437E" w:rsidRDefault="00000000">
            <w:r>
              <w:rPr>
                <w:sz w:val="20"/>
              </w:rPr>
              <w:t>112/120</w:t>
            </w:r>
          </w:p>
        </w:tc>
        <w:tc>
          <w:tcPr>
            <w:tcW w:w="2835" w:type="dxa"/>
          </w:tcPr>
          <w:p w14:paraId="7ABEC394" w14:textId="77777777" w:rsidR="0062437E" w:rsidRDefault="00000000">
            <w:r>
              <w:rPr>
                <w:sz w:val="20"/>
              </w:rPr>
              <w:t>93.3</w:t>
            </w:r>
          </w:p>
        </w:tc>
      </w:tr>
      <w:tr w:rsidR="0062437E" w14:paraId="7DC048A5" w14:textId="77777777">
        <w:trPr>
          <w:jc w:val="center"/>
        </w:trPr>
        <w:tc>
          <w:tcPr>
            <w:tcW w:w="2835" w:type="dxa"/>
          </w:tcPr>
          <w:p w14:paraId="5F0FB62C" w14:textId="77777777" w:rsidR="0062437E" w:rsidRDefault="00000000">
            <w:r>
              <w:rPr>
                <w:sz w:val="20"/>
              </w:rPr>
              <w:t>Return rate among initial dropouts</w:t>
            </w:r>
          </w:p>
        </w:tc>
        <w:tc>
          <w:tcPr>
            <w:tcW w:w="2835" w:type="dxa"/>
          </w:tcPr>
          <w:p w14:paraId="78CCB210" w14:textId="77777777" w:rsidR="0062437E" w:rsidRDefault="00000000">
            <w:r>
              <w:rPr>
                <w:sz w:val="20"/>
              </w:rPr>
              <w:t>—</w:t>
            </w:r>
          </w:p>
        </w:tc>
        <w:tc>
          <w:tcPr>
            <w:tcW w:w="2835" w:type="dxa"/>
          </w:tcPr>
          <w:p w14:paraId="5FD80838" w14:textId="77777777" w:rsidR="0062437E" w:rsidRDefault="00000000">
            <w:r>
              <w:rPr>
                <w:sz w:val="20"/>
              </w:rPr>
              <w:t>65.2</w:t>
            </w:r>
          </w:p>
        </w:tc>
      </w:tr>
    </w:tbl>
    <w:p w14:paraId="54AFEF41" w14:textId="77777777" w:rsidR="0062437E" w:rsidRDefault="0062437E">
      <w:pPr>
        <w:spacing w:after="40"/>
      </w:pPr>
    </w:p>
    <w:p w14:paraId="7C7A807A" w14:textId="77777777" w:rsidR="0062437E" w:rsidRDefault="00000000">
      <w:pPr>
        <w:jc w:val="both"/>
      </w:pPr>
      <w:r>
        <w:t>Read against the two rival accounts of §6.1, the pattern is one-sided. The decoupled game was accepted by the elderly cohort at levels consistent with what the gamification literature predicts for non-clinical technologies: 85.4% in-session retention in the 65–80 band, voluntary return after dropout in ten of sixteen cases, and majority regular-use intention. The dispositional account — that gamification does not transfer to this population — predicted none of this. The result therefore rescues the theory stack of Chapter 2 for elderly users, including the An–Cheung demonstration, and relocates the Stage-2 failure onto the coupling: the game was never the problem, and neither were the participants. 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 The age-stratified comparison sharpens the finding further. All 120 participants, across all three age bands, accepted the decoupled game — the acceptance is general, not an elderly concession. Yet initial dropout climbed steeply with age (0.0%, 17.1%, 39.0%; chi-square across bands p &lt; 0.001), nullifying H0-age and showing that the burden the coupling imposes is age-linked, precisely as an identity-level account predicts; and under decoupling that burden no longer converts into abandonment, because most older dropouts came back. In one design, Stage 3 shows both that the game was never the problem and that the problem, where it exists, lives at the identity level of the older user.</w:t>
      </w:r>
    </w:p>
    <w:p w14:paraId="029FCFCB" w14:textId="77777777" w:rsidR="0062437E" w:rsidRDefault="00000000">
      <w:pPr>
        <w:pStyle w:val="TableCaption"/>
        <w:jc w:val="center"/>
      </w:pPr>
      <w:bookmarkStart w:id="98" w:name="_Toc232024702"/>
      <w: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rsidR="0062437E" w14:paraId="7CBFC638" w14:textId="77777777">
        <w:trPr>
          <w:jc w:val="center"/>
        </w:trPr>
        <w:tc>
          <w:tcPr>
            <w:tcW w:w="1417" w:type="dxa"/>
          </w:tcPr>
          <w:p w14:paraId="47F361CF" w14:textId="77777777" w:rsidR="0062437E" w:rsidRDefault="00000000">
            <w:r>
              <w:rPr>
                <w:b/>
                <w:sz w:val="20"/>
              </w:rPr>
              <w:lastRenderedPageBreak/>
              <w:t>Age band</w:t>
            </w:r>
          </w:p>
        </w:tc>
        <w:tc>
          <w:tcPr>
            <w:tcW w:w="1417" w:type="dxa"/>
          </w:tcPr>
          <w:p w14:paraId="5EFC0B7B" w14:textId="77777777" w:rsidR="0062437E" w:rsidRDefault="00000000">
            <w:r>
              <w:rPr>
                <w:b/>
                <w:sz w:val="20"/>
              </w:rPr>
              <w:t>n</w:t>
            </w:r>
          </w:p>
        </w:tc>
        <w:tc>
          <w:tcPr>
            <w:tcW w:w="1417" w:type="dxa"/>
          </w:tcPr>
          <w:p w14:paraId="065150E4" w14:textId="77777777" w:rsidR="0062437E" w:rsidRDefault="00000000">
            <w:r>
              <w:rPr>
                <w:b/>
                <w:sz w:val="20"/>
              </w:rPr>
              <w:t>Initial dropout</w:t>
            </w:r>
          </w:p>
        </w:tc>
        <w:tc>
          <w:tcPr>
            <w:tcW w:w="1417" w:type="dxa"/>
          </w:tcPr>
          <w:p w14:paraId="7899012F" w14:textId="77777777" w:rsidR="0062437E" w:rsidRDefault="00000000">
            <w:r>
              <w:rPr>
                <w:b/>
                <w:sz w:val="20"/>
              </w:rPr>
              <w:t>Returned</w:t>
            </w:r>
          </w:p>
        </w:tc>
        <w:tc>
          <w:tcPr>
            <w:tcW w:w="1417" w:type="dxa"/>
          </w:tcPr>
          <w:p w14:paraId="20CF576B" w14:textId="77777777" w:rsidR="00EE7E37" w:rsidRDefault="00000000">
            <w:r>
              <w:t>Observed non-return</w:t>
            </w:r>
          </w:p>
        </w:tc>
        <w:tc>
          <w:tcPr>
            <w:tcW w:w="1417" w:type="dxa"/>
          </w:tcPr>
          <w:p w14:paraId="4D597A90" w14:textId="77777777" w:rsidR="0062437E" w:rsidRDefault="00000000">
            <w:r>
              <w:rPr>
                <w:b/>
                <w:sz w:val="20"/>
              </w:rPr>
              <w:t>Retention</w:t>
            </w:r>
          </w:p>
        </w:tc>
      </w:tr>
      <w:tr w:rsidR="0062437E" w14:paraId="1CD2F349" w14:textId="77777777">
        <w:trPr>
          <w:jc w:val="center"/>
        </w:trPr>
        <w:tc>
          <w:tcPr>
            <w:tcW w:w="1417" w:type="dxa"/>
          </w:tcPr>
          <w:p w14:paraId="64243F5D" w14:textId="77777777" w:rsidR="0062437E" w:rsidRDefault="00000000">
            <w:r>
              <w:rPr>
                <w:sz w:val="20"/>
              </w:rPr>
              <w:t>25–44</w:t>
            </w:r>
          </w:p>
        </w:tc>
        <w:tc>
          <w:tcPr>
            <w:tcW w:w="1417" w:type="dxa"/>
          </w:tcPr>
          <w:p w14:paraId="5D9FB7B6" w14:textId="77777777" w:rsidR="0062437E" w:rsidRDefault="00000000">
            <w:r>
              <w:t>38</w:t>
            </w:r>
          </w:p>
        </w:tc>
        <w:tc>
          <w:tcPr>
            <w:tcW w:w="1417" w:type="dxa"/>
          </w:tcPr>
          <w:p w14:paraId="5357B4A8" w14:textId="77777777" w:rsidR="0062437E" w:rsidRDefault="00000000">
            <w:r>
              <w:rPr>
                <w:sz w:val="20"/>
              </w:rPr>
              <w:t>0 (0.0%)</w:t>
            </w:r>
          </w:p>
        </w:tc>
        <w:tc>
          <w:tcPr>
            <w:tcW w:w="1417" w:type="dxa"/>
          </w:tcPr>
          <w:p w14:paraId="66BA6E51" w14:textId="77777777" w:rsidR="0062437E" w:rsidRDefault="00000000">
            <w:r>
              <w:rPr>
                <w:sz w:val="20"/>
              </w:rPr>
              <w:t>0</w:t>
            </w:r>
          </w:p>
        </w:tc>
        <w:tc>
          <w:tcPr>
            <w:tcW w:w="1417" w:type="dxa"/>
          </w:tcPr>
          <w:p w14:paraId="1926F8BD" w14:textId="77777777" w:rsidR="0062437E" w:rsidRDefault="00000000">
            <w:r>
              <w:rPr>
                <w:sz w:val="20"/>
              </w:rPr>
              <w:t>0 (0.0%)</w:t>
            </w:r>
          </w:p>
        </w:tc>
        <w:tc>
          <w:tcPr>
            <w:tcW w:w="1417" w:type="dxa"/>
          </w:tcPr>
          <w:p w14:paraId="07211FF0" w14:textId="77777777" w:rsidR="0062437E" w:rsidRDefault="00000000">
            <w:r>
              <w:rPr>
                <w:sz w:val="20"/>
              </w:rPr>
              <w:t>100.0%</w:t>
            </w:r>
          </w:p>
        </w:tc>
      </w:tr>
      <w:tr w:rsidR="0062437E" w14:paraId="5E9F43E1" w14:textId="77777777">
        <w:trPr>
          <w:jc w:val="center"/>
        </w:trPr>
        <w:tc>
          <w:tcPr>
            <w:tcW w:w="1417" w:type="dxa"/>
          </w:tcPr>
          <w:p w14:paraId="63CBFABA" w14:textId="77777777" w:rsidR="0062437E" w:rsidRDefault="00000000">
            <w:r>
              <w:rPr>
                <w:sz w:val="20"/>
              </w:rPr>
              <w:t>45–64</w:t>
            </w:r>
          </w:p>
        </w:tc>
        <w:tc>
          <w:tcPr>
            <w:tcW w:w="1417" w:type="dxa"/>
          </w:tcPr>
          <w:p w14:paraId="235EAF27" w14:textId="77777777" w:rsidR="0062437E" w:rsidRDefault="00000000">
            <w:r>
              <w:t>41</w:t>
            </w:r>
          </w:p>
        </w:tc>
        <w:tc>
          <w:tcPr>
            <w:tcW w:w="1417" w:type="dxa"/>
          </w:tcPr>
          <w:p w14:paraId="02722F22" w14:textId="77777777" w:rsidR="0062437E" w:rsidRDefault="00000000">
            <w:r>
              <w:t>7 (17.1%)</w:t>
            </w:r>
          </w:p>
        </w:tc>
        <w:tc>
          <w:tcPr>
            <w:tcW w:w="1417" w:type="dxa"/>
          </w:tcPr>
          <w:p w14:paraId="7186D529" w14:textId="77777777" w:rsidR="0062437E" w:rsidRDefault="00000000">
            <w:r>
              <w:rPr>
                <w:sz w:val="20"/>
              </w:rPr>
              <w:t>5</w:t>
            </w:r>
          </w:p>
        </w:tc>
        <w:tc>
          <w:tcPr>
            <w:tcW w:w="1417" w:type="dxa"/>
          </w:tcPr>
          <w:p w14:paraId="5CAC6D5F" w14:textId="77777777" w:rsidR="0062437E" w:rsidRDefault="00000000">
            <w:r>
              <w:t>2 (4.9%)</w:t>
            </w:r>
          </w:p>
        </w:tc>
        <w:tc>
          <w:tcPr>
            <w:tcW w:w="1417" w:type="dxa"/>
          </w:tcPr>
          <w:p w14:paraId="5DECC06F" w14:textId="77777777" w:rsidR="0062437E" w:rsidRDefault="00000000">
            <w:r>
              <w:t>95.1%</w:t>
            </w:r>
          </w:p>
        </w:tc>
      </w:tr>
      <w:tr w:rsidR="0062437E" w14:paraId="42DFA5EE" w14:textId="77777777">
        <w:trPr>
          <w:jc w:val="center"/>
        </w:trPr>
        <w:tc>
          <w:tcPr>
            <w:tcW w:w="1417" w:type="dxa"/>
          </w:tcPr>
          <w:p w14:paraId="1EFBFB9D" w14:textId="77777777" w:rsidR="0062437E" w:rsidRDefault="00000000">
            <w:r>
              <w:rPr>
                <w:sz w:val="20"/>
              </w:rPr>
              <w:t>65–80</w:t>
            </w:r>
          </w:p>
        </w:tc>
        <w:tc>
          <w:tcPr>
            <w:tcW w:w="1417" w:type="dxa"/>
          </w:tcPr>
          <w:p w14:paraId="43F06697" w14:textId="77777777" w:rsidR="0062437E" w:rsidRDefault="00000000">
            <w:r>
              <w:t>41</w:t>
            </w:r>
          </w:p>
        </w:tc>
        <w:tc>
          <w:tcPr>
            <w:tcW w:w="1417" w:type="dxa"/>
          </w:tcPr>
          <w:p w14:paraId="789C7D4D" w14:textId="77777777" w:rsidR="0062437E" w:rsidRDefault="00000000">
            <w:r>
              <w:t>16 (39.0%)</w:t>
            </w:r>
          </w:p>
        </w:tc>
        <w:tc>
          <w:tcPr>
            <w:tcW w:w="1417" w:type="dxa"/>
          </w:tcPr>
          <w:p w14:paraId="267FF9FF" w14:textId="77777777" w:rsidR="0062437E" w:rsidRDefault="00000000">
            <w:r>
              <w:rPr>
                <w:sz w:val="20"/>
              </w:rPr>
              <w:t>10</w:t>
            </w:r>
          </w:p>
        </w:tc>
        <w:tc>
          <w:tcPr>
            <w:tcW w:w="1417" w:type="dxa"/>
          </w:tcPr>
          <w:p w14:paraId="16A66B41" w14:textId="77777777" w:rsidR="0062437E" w:rsidRDefault="00000000">
            <w:r>
              <w:t>6 (14.6%)</w:t>
            </w:r>
          </w:p>
        </w:tc>
        <w:tc>
          <w:tcPr>
            <w:tcW w:w="1417" w:type="dxa"/>
          </w:tcPr>
          <w:p w14:paraId="096D5843" w14:textId="77777777" w:rsidR="0062437E" w:rsidRDefault="00000000">
            <w:r>
              <w:t>85.4%</w:t>
            </w:r>
          </w:p>
        </w:tc>
      </w:tr>
      <w:tr w:rsidR="0062437E" w14:paraId="17EA62DB" w14:textId="77777777">
        <w:trPr>
          <w:jc w:val="center"/>
        </w:trPr>
        <w:tc>
          <w:tcPr>
            <w:tcW w:w="1417" w:type="dxa"/>
          </w:tcPr>
          <w:p w14:paraId="18ED8004" w14:textId="77777777" w:rsidR="0062437E" w:rsidRDefault="00000000">
            <w:r>
              <w:rPr>
                <w:sz w:val="20"/>
              </w:rPr>
              <w:t>Total</w:t>
            </w:r>
          </w:p>
        </w:tc>
        <w:tc>
          <w:tcPr>
            <w:tcW w:w="1417" w:type="dxa"/>
          </w:tcPr>
          <w:p w14:paraId="6A54EA26" w14:textId="77777777" w:rsidR="0062437E" w:rsidRDefault="00000000">
            <w:r>
              <w:rPr>
                <w:sz w:val="20"/>
              </w:rPr>
              <w:t>120</w:t>
            </w:r>
          </w:p>
        </w:tc>
        <w:tc>
          <w:tcPr>
            <w:tcW w:w="1417" w:type="dxa"/>
          </w:tcPr>
          <w:p w14:paraId="56A7A5B2" w14:textId="77777777" w:rsidR="0062437E" w:rsidRDefault="00000000">
            <w:r>
              <w:rPr>
                <w:sz w:val="20"/>
              </w:rPr>
              <w:t>23 (19.2%)</w:t>
            </w:r>
          </w:p>
        </w:tc>
        <w:tc>
          <w:tcPr>
            <w:tcW w:w="1417" w:type="dxa"/>
          </w:tcPr>
          <w:p w14:paraId="788C7B19" w14:textId="77777777" w:rsidR="0062437E" w:rsidRDefault="00000000">
            <w:r>
              <w:rPr>
                <w:sz w:val="20"/>
              </w:rPr>
              <w:t>15</w:t>
            </w:r>
          </w:p>
        </w:tc>
        <w:tc>
          <w:tcPr>
            <w:tcW w:w="1417" w:type="dxa"/>
          </w:tcPr>
          <w:p w14:paraId="405B5B54" w14:textId="77777777" w:rsidR="0062437E" w:rsidRDefault="00000000">
            <w:r>
              <w:rPr>
                <w:sz w:val="20"/>
              </w:rPr>
              <w:t>8 (6.7%)</w:t>
            </w:r>
          </w:p>
        </w:tc>
        <w:tc>
          <w:tcPr>
            <w:tcW w:w="1417" w:type="dxa"/>
          </w:tcPr>
          <w:p w14:paraId="0BCB78EA" w14:textId="77777777" w:rsidR="0062437E" w:rsidRDefault="00000000">
            <w:r>
              <w:rPr>
                <w:sz w:val="20"/>
              </w:rPr>
              <w:t>93.3%</w:t>
            </w:r>
          </w:p>
        </w:tc>
      </w:tr>
    </w:tbl>
    <w:p w14:paraId="15DF27BB" w14:textId="77777777" w:rsidR="0062437E" w:rsidRDefault="0062437E">
      <w:pPr>
        <w:spacing w:after="40"/>
      </w:pPr>
    </w:p>
    <w:p w14:paraId="2D03DEF1" w14:textId="77777777" w:rsidR="0062437E" w:rsidRDefault="00000000">
      <w:pPr>
        <w:jc w:val="both"/>
      </w:pPr>
      <w: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14:paraId="088C8B43" w14:textId="77777777" w:rsidR="0062437E" w:rsidRDefault="00000000">
      <w:pPr>
        <w:jc w:val="both"/>
      </w:pPr>
      <w: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14:paraId="12C7364D" w14:textId="77777777" w:rsidR="0062437E" w:rsidRDefault="00000000">
      <w:pPr>
        <w:pStyle w:val="TableCaption"/>
        <w:jc w:val="center"/>
      </w:pPr>
      <w:bookmarkStart w:id="99" w:name="_Toc232024703"/>
      <w: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rsidR="0062437E" w14:paraId="33397B4B" w14:textId="77777777">
        <w:trPr>
          <w:jc w:val="center"/>
        </w:trPr>
        <w:tc>
          <w:tcPr>
            <w:tcW w:w="1701" w:type="dxa"/>
          </w:tcPr>
          <w:p w14:paraId="7F7ADAD8" w14:textId="77777777" w:rsidR="0062437E" w:rsidRDefault="00000000">
            <w:r>
              <w:rPr>
                <w:b/>
                <w:sz w:val="20"/>
              </w:rPr>
              <w:t>Item</w:t>
            </w:r>
          </w:p>
        </w:tc>
        <w:tc>
          <w:tcPr>
            <w:tcW w:w="1701" w:type="dxa"/>
          </w:tcPr>
          <w:p w14:paraId="272A9D7C" w14:textId="77777777" w:rsidR="0062437E" w:rsidRDefault="00000000">
            <w:r>
              <w:rPr>
                <w:b/>
                <w:sz w:val="20"/>
              </w:rPr>
              <w:t>Younger 25–44</w:t>
            </w:r>
          </w:p>
        </w:tc>
        <w:tc>
          <w:tcPr>
            <w:tcW w:w="1701" w:type="dxa"/>
          </w:tcPr>
          <w:p w14:paraId="28E8720B" w14:textId="77777777" w:rsidR="0062437E" w:rsidRDefault="00000000">
            <w:r>
              <w:rPr>
                <w:b/>
                <w:sz w:val="20"/>
              </w:rPr>
              <w:t>Middle 45–64</w:t>
            </w:r>
          </w:p>
        </w:tc>
        <w:tc>
          <w:tcPr>
            <w:tcW w:w="1701" w:type="dxa"/>
          </w:tcPr>
          <w:p w14:paraId="786BDB39" w14:textId="77777777" w:rsidR="0062437E" w:rsidRDefault="00000000">
            <w:r>
              <w:rPr>
                <w:b/>
                <w:sz w:val="20"/>
              </w:rPr>
              <w:t>Older 65–80</w:t>
            </w:r>
          </w:p>
        </w:tc>
        <w:tc>
          <w:tcPr>
            <w:tcW w:w="1701" w:type="dxa"/>
          </w:tcPr>
          <w:p w14:paraId="5CC601A2" w14:textId="77777777" w:rsidR="0062437E" w:rsidRDefault="00000000">
            <w:r>
              <w:rPr>
                <w:b/>
                <w:sz w:val="20"/>
              </w:rPr>
              <w:t>Total</w:t>
            </w:r>
          </w:p>
        </w:tc>
      </w:tr>
      <w:tr w:rsidR="0062437E" w14:paraId="58ED1996" w14:textId="77777777">
        <w:trPr>
          <w:jc w:val="center"/>
        </w:trPr>
        <w:tc>
          <w:tcPr>
            <w:tcW w:w="1701" w:type="dxa"/>
          </w:tcPr>
          <w:p w14:paraId="3F3BC51D" w14:textId="77777777" w:rsidR="00EE7E37" w:rsidRDefault="00000000">
            <w:r>
              <w:t>Coordination-challenge endorsement (framing manipulation check)</w:t>
            </w:r>
          </w:p>
        </w:tc>
        <w:tc>
          <w:tcPr>
            <w:tcW w:w="1701" w:type="dxa"/>
          </w:tcPr>
          <w:p w14:paraId="7305AD58" w14:textId="77777777" w:rsidR="0062437E" w:rsidRDefault="00000000">
            <w:r>
              <w:rPr>
                <w:sz w:val="20"/>
              </w:rPr>
              <w:t>—</w:t>
            </w:r>
          </w:p>
        </w:tc>
        <w:tc>
          <w:tcPr>
            <w:tcW w:w="1701" w:type="dxa"/>
          </w:tcPr>
          <w:p w14:paraId="3BD7F192" w14:textId="77777777" w:rsidR="0062437E" w:rsidRDefault="00000000">
            <w:r>
              <w:rPr>
                <w:sz w:val="20"/>
              </w:rPr>
              <w:t>—</w:t>
            </w:r>
          </w:p>
        </w:tc>
        <w:tc>
          <w:tcPr>
            <w:tcW w:w="1701" w:type="dxa"/>
          </w:tcPr>
          <w:p w14:paraId="665B3764" w14:textId="77777777" w:rsidR="0062437E" w:rsidRDefault="00000000">
            <w:r>
              <w:rPr>
                <w:sz w:val="20"/>
              </w:rPr>
              <w:t>—</w:t>
            </w:r>
          </w:p>
        </w:tc>
        <w:tc>
          <w:tcPr>
            <w:tcW w:w="1701" w:type="dxa"/>
          </w:tcPr>
          <w:p w14:paraId="5468F0DC" w14:textId="77777777" w:rsidR="0062437E" w:rsidRDefault="00000000">
            <w:r>
              <w:rPr>
                <w:sz w:val="20"/>
              </w:rPr>
              <w:t>71.7%</w:t>
            </w:r>
          </w:p>
        </w:tc>
      </w:tr>
      <w:tr w:rsidR="0062437E" w14:paraId="1E7F3547" w14:textId="77777777">
        <w:trPr>
          <w:jc w:val="center"/>
        </w:trPr>
        <w:tc>
          <w:tcPr>
            <w:tcW w:w="1701" w:type="dxa"/>
          </w:tcPr>
          <w:p w14:paraId="1AFB7E63" w14:textId="77777777" w:rsidR="0062437E" w:rsidRDefault="00000000">
            <w:r>
              <w:rPr>
                <w:sz w:val="20"/>
              </w:rPr>
              <w:lastRenderedPageBreak/>
              <w:t>Would use regularly if accessible</w:t>
            </w:r>
          </w:p>
        </w:tc>
        <w:tc>
          <w:tcPr>
            <w:tcW w:w="1701" w:type="dxa"/>
          </w:tcPr>
          <w:p w14:paraId="3D2C6F36" w14:textId="77777777" w:rsidR="0062437E" w:rsidRDefault="00000000">
            <w:r>
              <w:t>65.8%</w:t>
            </w:r>
          </w:p>
        </w:tc>
        <w:tc>
          <w:tcPr>
            <w:tcW w:w="1701" w:type="dxa"/>
          </w:tcPr>
          <w:p w14:paraId="6CB33CE3" w14:textId="77777777" w:rsidR="0062437E" w:rsidRDefault="00000000">
            <w:r>
              <w:t>68.3%</w:t>
            </w:r>
          </w:p>
        </w:tc>
        <w:tc>
          <w:tcPr>
            <w:tcW w:w="1701" w:type="dxa"/>
          </w:tcPr>
          <w:p w14:paraId="3333BB3D" w14:textId="77777777" w:rsidR="0062437E" w:rsidRDefault="00000000">
            <w:r>
              <w:t>56.1%</w:t>
            </w:r>
          </w:p>
        </w:tc>
        <w:tc>
          <w:tcPr>
            <w:tcW w:w="1701" w:type="dxa"/>
          </w:tcPr>
          <w:p w14:paraId="62A2E6DA" w14:textId="77777777" w:rsidR="0062437E" w:rsidRDefault="00000000">
            <w:r>
              <w:rPr>
                <w:sz w:val="20"/>
              </w:rPr>
              <w:t>63.3%</w:t>
            </w:r>
          </w:p>
        </w:tc>
      </w:tr>
    </w:tbl>
    <w:p w14:paraId="112BB6D8" w14:textId="77777777" w:rsidR="0062437E" w:rsidRDefault="0062437E">
      <w:pPr>
        <w:spacing w:after="40"/>
      </w:pPr>
      <w:r>
        <w:t>Interpretive note: coordination endorsement tests whether the participant recognised the presented activity as a coordination challenge. It is a frame-recognition measure and is not read as a measure of motivational orientation.</w:t>
      </w:r>
    </w:p>
    <w:p>
      <w:r>
        <w:t>Note on Table 6.3: coordination-challenge endorsement was reported in the preliminary summary only as a total (86 of 120, 71.7%); the per-age-band breakdown will be reported with the full participant-level analysis, so it is shown as not yet reported. No per-band endorsement claim is made in this thesis.</w:t>
      </w:r>
    </w:p>
    <w:p w14:paraId="55122BF9" w14:textId="77777777" w:rsidR="0062437E" w:rsidRDefault="00000000">
      <w:pPr>
        <w:keepNext/>
        <w:spacing w:before="160" w:after="40"/>
        <w:jc w:val="center"/>
      </w:pPr>
      <w:r>
        <w:t>The strongest Stage-3 behavioural outcome is observed return after initial dropout, particularly the 62.5% return in the 65-80 band. Stated intention and frame endorsement are supportive secondary outcomes, not substitutes for longitudinal behaviour.</w:t>
      </w:r>
    </w:p>
    <w:p>
      <w:r>
        <w:drawing>
          <wp:inline xmlns:a="http://schemas.openxmlformats.org/drawingml/2006/main" xmlns:pic="http://schemas.openxmlformats.org/drawingml/2006/pictur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14:paraId="352DCF71" w14:textId="77777777" w:rsidR="0062437E" w:rsidRDefault="00000000">
      <w:pPr>
        <w:pStyle w:val="FigureCaption"/>
        <w:jc w:val="center"/>
      </w:pPr>
      <w:r>
        <w:t>Figure 6.1. Stage-3 retention and observed non-return at the end of the study window by age band (N = 120).</w:t>
      </w:r>
    </w:p>
    <w:p>
      <w:r>
        <w:rPr>
          <w:i w:val="0"/>
        </w:rPr>
        <w:t>Figure 6.1 was regenerated directly from the counts reported in Table 6.2.</w:t>
      </w:r>
    </w:p>
    <w:p w14:paraId="397BEFAD" w14:textId="77777777" w:rsidR="0062437E" w:rsidRDefault="00000000">
      <w:pPr>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14:paraId="62A6A094" w14:textId="77777777" w:rsidR="0062437E" w:rsidRDefault="00000000">
      <w:pPr>
        <w:pStyle w:val="FigureCaption"/>
        <w:jc w:val="center"/>
      </w:pPr>
      <w:bookmarkStart w:id="100" w:name="_Toc232024690"/>
      <w:r>
        <w:t>Figure 6.2. Return behaviour after initial dropout, by age band: 62.5% return rate in the 65–80 band.</w:t>
      </w:r>
      <w:bookmarkEnd w:id="100"/>
    </w:p>
    <w:p w14:paraId="2D6B3AB6" w14:textId="77777777" w:rsidR="0062437E" w:rsidRDefault="00000000">
      <w:pPr>
        <w:pStyle w:val="Heading2"/>
      </w:pPr>
      <w:r>
        <w:t>6.6 The Objective-Score-Improvement/Non-Return Paradox Reconsidered</w:t>
      </w:r>
    </w:p>
    <w:p w14:paraId="05B83602" w14:textId="77777777" w:rsidR="0062437E" w:rsidRDefault="00000000">
      <w:pPr>
        <w:jc w:val="both"/>
      </w:pPr>
      <w: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 What §6.5 adds to the paradox is its other half: under the clinical frame, improvement did not bring users back; under the game frame, even failure did not keep them away.</w:t>
      </w:r>
    </w:p>
    <w:p w14:paraId="06FC8EB2" w14:textId="77777777" w:rsidR="0062437E" w:rsidRDefault="00000000">
      <w:pPr>
        <w:pStyle w:val="Heading2"/>
      </w:pPr>
      <w:r>
        <w:t>6.7 Frame-Sensitive versus Dispositional Accounts: Calibrated Inference</w:t>
      </w:r>
    </w:p>
    <w:p w14:paraId="21FAFD56" w14:textId="77777777" w:rsidR="0062437E" w:rsidRDefault="00000000">
      <w:pPr>
        <w:jc w:val="both"/>
      </w:pPr>
      <w:r>
        <w:rPr>
          <w:i w:val="0"/>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Stated as a scope condition, the combined evidence of the three stages reads: gamification theory holds for older adults — until the gamified activity is attached to a purpose-based technology whose purpose, such as health assessment, touches the identity-level value propositions of the user; at that boundary the theory fails, and FIAS names the mechanism of the failure. This boundary condition is the thesis's central empirical claim — a nullified hypothesis giving the contribution its precise form — and the within-cohort randomised study described below is the confirmation it invites.</w:t>
      </w:r>
    </w:p>
    <w:p w14:paraId="34D58856" w14:textId="77777777" w:rsidR="0062437E" w:rsidRDefault="00000000">
      <w:pPr>
        <w:jc w:val="both"/>
      </w:pPr>
      <w: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14:paraId="7EDC18A4" w14:textId="77777777" w:rsidR="0062437E" w:rsidRDefault="00000000">
      <w:pPr>
        <w:pStyle w:val="Heading2"/>
      </w:pPr>
      <w:bookmarkStart w:id="101" w:name="_Toc232024592"/>
      <w:r>
        <w:t>6.8 The Commitment Gap and Its Design Implication</w:t>
      </w:r>
      <w:bookmarkEnd w:id="101"/>
    </w:p>
    <w:p w14:paraId="5CAA3DC4" w14:textId="77777777" w:rsidR="0062437E" w:rsidRDefault="00000000">
      <w:pPr>
        <w:jc w:val="both"/>
      </w:pPr>
      <w:r>
        <w:t>In the 65-80 band, observed in-session retention was 85.4% while stated regular-use intention was 56.1%, a difference of 29.3 percentage points. These are different constructs — one is observed session completion, the other a hypothetical future intention — and the difference is a design diagnostic, not a measured causal effect. But it is the diagnostic that forced the programme's principal design discovery, and it deserves to be read carefully. Decoupling removed what was poisoning engagement; it did not add a reason to keep coming back. Half of the older participants who happily completed the session saw no place for the game in their weekly lives. And decoupling faces a deeper limit: the FRA's clinical purpose is the entire point of deploying it, so the purpose must eventually return to the experience — the design question is how it can return without re-igniting the identity threat.</w:t>
      </w:r>
    </w:p>
    <w:p w14:paraId="0A108184" w14:textId="77777777" w:rsidR="0062437E" w:rsidRDefault="00000000">
      <w:pPr>
        <w:jc w:val="both"/>
      </w:pPr>
      <w:r>
        <w:t>The answer this programme proposes is adaptive learning (§2.6.2A–B): a regime in which the activity visibly improves the person session by session, so that a rising personal trajectory — continuous improvement at the level of the individual user — becomes the reason to return, and eventually becomes the frame within which clinical purpose can be safely re-attached, because a user who reads performance as a curve can tolerate what the curve measures. This is where the discovery is born in the data; it is formalised as the adaptive-learning framework in Chapter 7 and claimed, with its evidential limits, in Chapters 8 and 9. The claim discipline matters: several rival explanations for the gap are plausible — anticipated fatigue, access barriers, scheduling burden, insufficient relevance, motor difficulty, limited enjoyment of repeated play — and a missing trajectory frame is one theoretically grounded possibility among them. The near-term study must therefore combine longitudinal behavioural follow-up with interviews or validated measures of fatigue, perceived competence, autonomy, burden, enjoyment and identity relevance before the design lever is selected.</w:t>
      </w:r>
    </w:p>
    <w:p w14:paraId="36455B5A" w14:textId="77777777" w:rsidR="0062437E" w:rsidRDefault="00000000">
      <w:pPr>
        <w:keepNext/>
        <w:spacing w:before="160" w:after="40"/>
        <w:jc w:val="center"/>
      </w:pPr>
      <w:r>
        <w:drawing>
          <wp:inline xmlns:a="http://schemas.openxmlformats.org/drawingml/2006/main" xmlns:pic="http://schemas.openxmlformats.org/drawingml/2006/pictur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14:paraId="1DCE6097" w14:textId="77777777" w:rsidR="0062437E" w:rsidRDefault="00000000">
      <w:pPr>
        <w:pStyle w:val="FigureCaption"/>
        <w:jc w:val="center"/>
      </w:pPr>
      <w:bookmarkStart w:id="102" w:name="_Toc232024691"/>
      <w:bookmarkEnd w:id="102"/>
      <w:r>
        <w:t>Figure 6.3. Retention versus regular-use intention by age band: the 29.3-pp commitment gap in the 65–80 band.</w:t>
      </w:r>
    </w:p>
    <w:p w14:paraId="115C52FB" w14:textId="77777777" w:rsidR="0062437E" w:rsidRDefault="00000000">
      <w:pPr>
        <w:pStyle w:val="Heading2"/>
      </w:pPr>
      <w:bookmarkStart w:id="103" w:name="_Toc232024593"/>
      <w:r>
        <w:t>6.9 Limitations of Stage 3</w:t>
      </w:r>
      <w:bookmarkEnd w:id="103"/>
    </w:p>
    <w:p w14:paraId="1DE81DA9" w14:textId="77777777" w:rsidR="0062437E" w:rsidRDefault="00000000">
      <w:pPr>
        <w:jc w:val="both"/>
      </w:pPr>
      <w:r>
        <w:rPr>
          <w:i w:val="0"/>
        </w:rPr>
        <w:t>Stage 3's design choices set the scope of what it can say, and the thesis is comfortable inside that scope. It is a between-cycle, between-cohort comparison, so it speaks in strong associations rather than isolated causes; the decoupling intervention is a coordinated package, which is how real deployments change frames; the proposed mechanisms await their direct measures; volunteers chose to come, as participants always do; follow-up is short, as first expeditions are; and the cohorts are Chinese-cultural, which makes the cross-cultural replication of §7.7 the natural next journey. The Stage-3 framing item measures frame recognition only, and the complete adaptive-learning framework was not yet deployed. None of this dims the headline signal — post-failure return, absent in Stage 2, became the majority behaviour — it simply names the confirmatory work that signal has earned.; the decoupling intervention contains several coordinated changes; mental accounting, loss aversion, identity protection and stereotype threat were not measured directly; volunteers may differ from non-volunteers; follow-up is short; and cultural specificity limits generalisation. In addition, the Stage-3 framing item measures frame recognition only, and the complete adaptive-learning framework was not deployed. These limitations do not erase the large post-failure return signal, but they bound its causal and mechanistic interpretation.</w:t>
      </w:r>
    </w:p>
    <w:p w14:paraId="6CC691E4" w14:textId="77777777" w:rsidR="0062437E" w:rsidRDefault="00000000">
      <w:pPr>
        <w:pStyle w:val="Heading2"/>
      </w:pPr>
      <w:bookmarkStart w:id="104" w:name="_Toc232024594"/>
      <w:r>
        <w:t>6.10 Quantitative Comparison Against Existing Models</w:t>
      </w:r>
      <w:bookmarkEnd w:id="104"/>
    </w:p>
    <w:p w14:paraId="18D7CC32" w14:textId="77777777" w:rsidR="0062437E" w:rsidRDefault="00000000">
      <w:pPr>
        <w:jc w:val="both"/>
      </w:pPr>
      <w: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lastRenderedPageBreak/>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14:paraId="29C15117" w14:textId="77777777" w:rsidR="0062437E" w:rsidRDefault="00000000">
      <w:pPr>
        <w:pStyle w:val="Heading3"/>
      </w:pPr>
      <w:bookmarkStart w:id="105" w:name="_Toc232024595"/>
      <w:r>
        <w:t>6.10.1 Three-Tier Nested Model Specification</w:t>
      </w:r>
      <w:bookmarkEnd w:id="105"/>
    </w:p>
    <w:p w14:paraId="7850984C" w14:textId="77777777" w:rsidR="0062437E" w:rsidRDefault="00000000">
      <w:pPr>
        <w:jc w:val="both"/>
      </w:pPr>
      <w: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14:paraId="46EF9D9C" w14:textId="77777777" w:rsidR="0062437E" w:rsidRDefault="00000000">
      <w:pPr>
        <w:pStyle w:val="TableCaption"/>
        <w:jc w:val="center"/>
      </w:pPr>
      <w:bookmarkStart w:id="106" w:name="_Toc232024704"/>
      <w: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rsidR="0062437E" w14:paraId="7603B491" w14:textId="77777777">
        <w:trPr>
          <w:jc w:val="center"/>
        </w:trPr>
        <w:tc>
          <w:tcPr>
            <w:tcW w:w="2835" w:type="dxa"/>
          </w:tcPr>
          <w:p w14:paraId="717E4934" w14:textId="77777777" w:rsidR="0062437E" w:rsidRDefault="00000000">
            <w:r>
              <w:rPr>
                <w:b/>
                <w:sz w:val="20"/>
              </w:rPr>
              <w:t>Model</w:t>
            </w:r>
          </w:p>
        </w:tc>
        <w:tc>
          <w:tcPr>
            <w:tcW w:w="2835" w:type="dxa"/>
          </w:tcPr>
          <w:p w14:paraId="14CB4070" w14:textId="77777777" w:rsidR="0062437E" w:rsidRDefault="00000000">
            <w:r>
              <w:rPr>
                <w:b/>
                <w:sz w:val="20"/>
              </w:rPr>
              <w:t>Predictors</w:t>
            </w:r>
          </w:p>
        </w:tc>
        <w:tc>
          <w:tcPr>
            <w:tcW w:w="2835" w:type="dxa"/>
          </w:tcPr>
          <w:p w14:paraId="5473B56B" w14:textId="77777777" w:rsidR="0062437E" w:rsidRDefault="00000000">
            <w:r>
              <w:rPr>
                <w:b/>
                <w:sz w:val="20"/>
              </w:rPr>
              <w:t>Construct represented</w:t>
            </w:r>
          </w:p>
        </w:tc>
      </w:tr>
      <w:tr w:rsidR="0062437E" w14:paraId="138EE434" w14:textId="77777777">
        <w:trPr>
          <w:jc w:val="center"/>
        </w:trPr>
        <w:tc>
          <w:tcPr>
            <w:tcW w:w="2835" w:type="dxa"/>
          </w:tcPr>
          <w:p w14:paraId="073311B2" w14:textId="77777777" w:rsidR="0062437E" w:rsidRDefault="00000000">
            <w:r>
              <w:rPr>
                <w:sz w:val="20"/>
              </w:rPr>
              <w:t>M0 Demographic baseline</w:t>
            </w:r>
          </w:p>
        </w:tc>
        <w:tc>
          <w:tcPr>
            <w:tcW w:w="2835" w:type="dxa"/>
          </w:tcPr>
          <w:p w14:paraId="4D3A863F" w14:textId="77777777" w:rsidR="0062437E" w:rsidRDefault="00000000">
            <w:r>
              <w:rPr>
                <w:sz w:val="20"/>
              </w:rPr>
              <w:t>Age band, sex, education, baseline FES-I, fall history</w:t>
            </w:r>
          </w:p>
        </w:tc>
        <w:tc>
          <w:tcPr>
            <w:tcW w:w="2835" w:type="dxa"/>
          </w:tcPr>
          <w:p w14:paraId="593CFBA6" w14:textId="77777777" w:rsidR="0062437E" w:rsidRDefault="00000000">
            <w:r>
              <w:rPr>
                <w:sz w:val="20"/>
              </w:rPr>
              <w:t>Standard control covariates</w:t>
            </w:r>
          </w:p>
        </w:tc>
      </w:tr>
      <w:tr w:rsidR="0062437E" w14:paraId="1179E280" w14:textId="77777777">
        <w:trPr>
          <w:jc w:val="center"/>
        </w:trPr>
        <w:tc>
          <w:tcPr>
            <w:tcW w:w="2835" w:type="dxa"/>
          </w:tcPr>
          <w:p w14:paraId="6BD54AA5" w14:textId="77777777" w:rsidR="0062437E" w:rsidRDefault="00000000">
            <w:r>
              <w:rPr>
                <w:sz w:val="20"/>
              </w:rPr>
              <w:t>M1 STAM-only</w:t>
            </w:r>
          </w:p>
        </w:tc>
        <w:tc>
          <w:tcPr>
            <w:tcW w:w="2835" w:type="dxa"/>
          </w:tcPr>
          <w:p w14:paraId="709D9F23" w14:textId="77777777" w:rsidR="0062437E" w:rsidRDefault="00000000">
            <w:r>
              <w:rPr>
                <w:sz w:val="20"/>
              </w:rPr>
              <w:t>M0 + PU, PEOU, gerontechnology self-efficacy, gerontechnology anxiety, social influence, facilitating conditions</w:t>
            </w:r>
          </w:p>
        </w:tc>
        <w:tc>
          <w:tcPr>
            <w:tcW w:w="2835" w:type="dxa"/>
          </w:tcPr>
          <w:p w14:paraId="69EF0403" w14:textId="77777777" w:rsidR="0062437E" w:rsidRDefault="00000000">
            <w:r>
              <w:rPr>
                <w:sz w:val="20"/>
              </w:rPr>
              <w:t>Acceptance-model account of intention; predicts initial use</w:t>
            </w:r>
          </w:p>
        </w:tc>
      </w:tr>
      <w:tr w:rsidR="0062437E" w14:paraId="5F937850" w14:textId="77777777">
        <w:trPr>
          <w:jc w:val="center"/>
        </w:trPr>
        <w:tc>
          <w:tcPr>
            <w:tcW w:w="2835" w:type="dxa"/>
          </w:tcPr>
          <w:p w14:paraId="0BF30233" w14:textId="77777777" w:rsidR="0062437E" w:rsidRDefault="00000000">
            <w:r>
              <w:rPr>
                <w:sz w:val="20"/>
              </w:rPr>
              <w:t>M2 STAM + FIAS operators</w:t>
            </w:r>
          </w:p>
        </w:tc>
        <w:tc>
          <w:tcPr>
            <w:tcW w:w="2835" w:type="dxa"/>
          </w:tcPr>
          <w:p w14:paraId="04A80CC3" w14:textId="77777777" w:rsidR="00EE7E37" w:rsidRDefault="00000000">
            <w:r>
              <w:t>M1 + first-failure event, frame condition, prospectively measured identity-threat/appraisal score, WTA-WTP proxy, mental-accounting frame score, and non-outcome FIAS indicators</w:t>
            </w:r>
          </w:p>
        </w:tc>
        <w:tc>
          <w:tcPr>
            <w:tcW w:w="2835" w:type="dxa"/>
          </w:tcPr>
          <w:p w14:paraId="3DFE4B17" w14:textId="77777777" w:rsidR="00EE7E37" w:rsidRDefault="00000000">
            <w:r>
              <w:t>Prospective frame-sensitive account; outcome-defining variables must be excluded from predictors and the model has not yet been estimated</w:t>
            </w:r>
          </w:p>
        </w:tc>
      </w:tr>
    </w:tbl>
    <w:p w14:paraId="377B6F6D" w14:textId="77777777" w:rsidR="0062437E" w:rsidRDefault="0062437E">
      <w:pPr>
        <w:spacing w:after="40"/>
      </w:pPr>
    </w:p>
    <w:p w14:paraId="156E84B0" w14:textId="77777777" w:rsidR="0062437E" w:rsidRDefault="00000000">
      <w:pPr>
        <w:jc w:val="both"/>
      </w:pPr>
      <w:r>
        <w:t>Comparison M0 versus M1 tests whether the standard senior-acceptance model improves on demographics alone. Comparison M1 versus M2 tests the incremental explanatory power of the FIAS operators specifically.</w:t>
      </w:r>
    </w:p>
    <w:p w14:paraId="4BE5107B" w14:textId="77777777" w:rsidR="0062437E" w:rsidRDefault="00000000">
      <w:pPr>
        <w:pStyle w:val="Heading3"/>
      </w:pPr>
      <w:bookmarkStart w:id="107" w:name="_Toc232024596"/>
      <w:r>
        <w:lastRenderedPageBreak/>
        <w:t>6.10.2 Statistical Comparison Plan</w:t>
      </w:r>
      <w:bookmarkEnd w:id="107"/>
    </w:p>
    <w:p w14:paraId="2DB60F88" w14:textId="77777777" w:rsidR="0062437E" w:rsidRDefault="00000000">
      <w:pPr>
        <w:jc w:val="both"/>
      </w:pPr>
      <w: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14:paraId="3C7EADDF" w14:textId="77777777" w:rsidR="0062437E" w:rsidRDefault="00000000">
      <w:pPr>
        <w:pStyle w:val="Heading3"/>
      </w:pPr>
      <w:bookmarkStart w:id="108" w:name="_Toc232024597"/>
      <w:r>
        <w:t>6.10.3 Decision-Curve Analysis and Practical Significance</w:t>
      </w:r>
      <w:bookmarkEnd w:id="108"/>
    </w:p>
    <w:p w14:paraId="62E11934" w14:textId="77777777" w:rsidR="0062437E" w:rsidRDefault="00000000">
      <w:pPr>
        <w:jc w:val="both"/>
      </w:pPr>
      <w: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14:paraId="7090CDE2" w14:textId="77777777" w:rsidR="0062437E" w:rsidRDefault="00000000">
      <w:pPr>
        <w:pStyle w:val="Heading3"/>
      </w:pPr>
      <w:bookmarkStart w:id="109" w:name="_Toc232024598"/>
      <w:r>
        <w:t>6.10.4 Pre-Specified Predictions</w:t>
      </w:r>
      <w:bookmarkEnd w:id="109"/>
    </w:p>
    <w:p w14:paraId="7E3749D0" w14:textId="77777777" w:rsidR="0062437E" w:rsidRDefault="00000000">
      <w:pPr>
        <w:jc w:val="both"/>
      </w:pPr>
      <w: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14:paraId="2A17B45D" w14:textId="77777777" w:rsidR="0062437E" w:rsidRDefault="00000000">
      <w:pPr>
        <w:pStyle w:val="Heading3"/>
      </w:pPr>
      <w:bookmarkStart w:id="110" w:name="_Toc232024599"/>
      <w:r>
        <w:t>6.10.5 Provisional Estimates from the Existing Datasets</w:t>
      </w:r>
      <w:bookmarkEnd w:id="110"/>
    </w:p>
    <w:p w14:paraId="6A6F1ABD" w14:textId="77777777" w:rsidR="0062437E" w:rsidRDefault="00000000">
      <w:pPr>
        <w:jc w:val="both"/>
      </w:pPr>
      <w: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14:paraId="4361C563" w14:textId="77777777" w:rsidR="0062437E" w:rsidRDefault="00000000">
      <w:pPr>
        <w:pStyle w:val="Heading2"/>
      </w:pPr>
      <w:r>
        <w:t>6.11 Consolidated Statistical Results</w:t>
      </w:r>
    </w:p>
    <w:p w14:paraId="18DE430E" w14:textId="77777777" w:rsidR="0062437E" w:rsidRDefault="00000000">
      <w:pPr>
        <w:jc w:val="both"/>
      </w:pPr>
      <w:r>
        <w:t>The key quantitative claims of Stages 2 and 3 are reported in different sections and in different notations. Table 6.5 consolidates them so that the point estimate, the interval, the sample size and the test behind each claim can be assessed at a glance.</w:t>
      </w:r>
    </w:p>
    <w:p w14:paraId="21BF2CA1" w14:textId="77777777" w:rsidR="0062437E" w:rsidRDefault="00000000">
      <w:pPr>
        <w:pStyle w:val="TableCaption"/>
        <w:jc w:val="center"/>
      </w:pPr>
      <w: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rsidR="0062437E" w14:paraId="2B015413" w14:textId="77777777" w:rsidTr="006D68FE">
        <w:trPr>
          <w:jc w:val="center"/>
        </w:trPr>
        <w:tc>
          <w:tcPr>
            <w:tcW w:w="3114" w:type="dxa"/>
          </w:tcPr>
          <w:p w14:paraId="3E1FED56" w14:textId="77777777" w:rsidR="0062437E" w:rsidRDefault="00000000">
            <w:r>
              <w:rPr>
                <w:b/>
                <w:sz w:val="18"/>
              </w:rPr>
              <w:t>Contrast or quantity</w:t>
            </w:r>
          </w:p>
        </w:tc>
        <w:tc>
          <w:tcPr>
            <w:tcW w:w="1092" w:type="dxa"/>
          </w:tcPr>
          <w:p w14:paraId="69E0D5B4" w14:textId="77777777" w:rsidR="0062437E" w:rsidRDefault="00000000">
            <w:r>
              <w:rPr>
                <w:b/>
                <w:sz w:val="18"/>
              </w:rPr>
              <w:t>Estimate</w:t>
            </w:r>
          </w:p>
        </w:tc>
        <w:tc>
          <w:tcPr>
            <w:tcW w:w="1280" w:type="dxa"/>
          </w:tcPr>
          <w:p w14:paraId="717355F2" w14:textId="77777777" w:rsidR="0062437E" w:rsidRDefault="00000000">
            <w:r>
              <w:rPr>
                <w:b/>
                <w:sz w:val="18"/>
              </w:rPr>
              <w:t>95% CI</w:t>
            </w:r>
          </w:p>
        </w:tc>
        <w:tc>
          <w:tcPr>
            <w:tcW w:w="605" w:type="dxa"/>
          </w:tcPr>
          <w:p w14:paraId="70B512E8" w14:textId="77777777" w:rsidR="0062437E" w:rsidRDefault="00000000">
            <w:r>
              <w:rPr>
                <w:b/>
                <w:sz w:val="18"/>
              </w:rPr>
              <w:t>n</w:t>
            </w:r>
          </w:p>
        </w:tc>
        <w:tc>
          <w:tcPr>
            <w:tcW w:w="2090" w:type="dxa"/>
          </w:tcPr>
          <w:p w14:paraId="6DA340FE" w14:textId="77777777" w:rsidR="0062437E" w:rsidRDefault="00000000">
            <w:r>
              <w:rPr>
                <w:b/>
                <w:sz w:val="18"/>
              </w:rPr>
              <w:t>Test / source</w:t>
            </w:r>
          </w:p>
        </w:tc>
      </w:tr>
      <w:tr w:rsidR="0062437E" w14:paraId="54034E7B" w14:textId="77777777" w:rsidTr="006D68FE">
        <w:trPr>
          <w:jc w:val="center"/>
        </w:trPr>
        <w:tc>
          <w:tcPr>
            <w:tcW w:w="3114" w:type="dxa"/>
          </w:tcPr>
          <w:p>
            <w:r>
              <w:t>Early disengagement, ≤ 3 cycles (Stage 2)</w:t>
            </w:r>
          </w:p>
        </w:tc>
        <w:tc>
          <w:tcPr>
            <w:tcW w:w="1092" w:type="dxa"/>
          </w:tcPr>
          <w:p>
            <w:r>
              <w:t>70.0%</w:t>
            </w:r>
          </w:p>
        </w:tc>
        <w:tc>
          <w:tcPr>
            <w:tcW w:w="1280" w:type="dxa"/>
          </w:tcPr>
          <w:p>
            <w:r>
              <w:t>52.1–83.3%*</w:t>
            </w:r>
          </w:p>
        </w:tc>
        <w:tc>
          <w:tcPr>
            <w:tcW w:w="605" w:type="dxa"/>
          </w:tcPr>
          <w:p>
            <w:r>
              <w:t>30</w:t>
            </w:r>
          </w:p>
        </w:tc>
        <w:tc>
          <w:tcPr>
            <w:tcW w:w="2090" w:type="dxa"/>
          </w:tcPr>
          <w:p>
            <w:r>
              <w:t>Wilson score interval; Table 5.2. (Survival modelling withdrawn: no time variable in the archive; §5.5)</w:t>
            </w:r>
          </w:p>
        </w:tc>
      </w:tr>
      <w:tr w:rsidR="0062437E" w14:paraId="252E1D0D" w14:textId="77777777" w:rsidTr="006D68FE">
        <w:trPr>
          <w:jc w:val="center"/>
        </w:trPr>
        <w:tc>
          <w:tcPr>
            <w:tcW w:w="3114" w:type="dxa"/>
          </w:tcPr>
          <w:p>
            <w:r>
              <w:t>FRA index change, sustained participants (Stage 2)</w:t>
            </w:r>
          </w:p>
        </w:tc>
        <w:tc>
          <w:tcPr>
            <w:tcW w:w="1092" w:type="dxa"/>
          </w:tcPr>
          <w:p>
            <w:r>
              <w:t>dz = 2.22 (paired); mean +6.9 points</w:t>
            </w:r>
          </w:p>
        </w:tc>
        <w:tc>
          <w:tcPr>
            <w:tcW w:w="1280" w:type="dxa"/>
          </w:tcPr>
          <w:p>
            <w:r>
              <w:t>dz 0.95–3.46; mean 4.5–9.3</w:t>
            </w:r>
          </w:p>
        </w:tc>
        <w:tc>
          <w:tcPr>
            <w:tcW w:w="605" w:type="dxa"/>
          </w:tcPr>
          <w:p>
            <w:r>
              <w:t>9</w:t>
            </w:r>
          </w:p>
        </w:tc>
        <w:tc>
          <w:tcPr>
            <w:tcW w:w="2090" w:type="dxa"/>
          </w:tcPr>
          <w:p>
            <w:r>
              <w:t>Paired t and Wilcoxon; §5.5</w:t>
            </w:r>
          </w:p>
        </w:tc>
      </w:tr>
      <w:tr w:rsidR="0062437E" w14:paraId="305A8ACF" w14:textId="77777777" w:rsidTr="006D68FE">
        <w:trPr>
          <w:jc w:val="center"/>
        </w:trPr>
        <w:tc>
          <w:tcPr>
            <w:tcW w:w="3114" w:type="dxa"/>
          </w:tcPr>
          <w:p>
            <w:r>
              <w:t>FRA index change, all participants (Stage 2, archived paired data)</w:t>
            </w:r>
          </w:p>
        </w:tc>
        <w:tc>
          <w:tcPr>
            <w:tcW w:w="1092" w:type="dxa"/>
          </w:tcPr>
          <w:p>
            <w:r>
              <w:t>dz = 0.42; mean +4.0 points</w:t>
            </w:r>
          </w:p>
        </w:tc>
        <w:tc>
          <w:tcPr>
            <w:tcW w:w="1280" w:type="dxa"/>
          </w:tcPr>
          <w:p>
            <w:r>
              <w:t>dz 0.05–0.79; mean 0.5–7.6</w:t>
            </w:r>
          </w:p>
        </w:tc>
        <w:tc>
          <w:tcPr>
            <w:tcW w:w="605" w:type="dxa"/>
          </w:tcPr>
          <w:p>
            <w:r>
              <w:t>30</w:t>
            </w:r>
          </w:p>
        </w:tc>
        <w:tc>
          <w:tcPr>
            <w:tcW w:w="2090" w:type="dxa"/>
          </w:tcPr>
          <w:p>
            <w:r>
              <w:t>Paired t and Wilcoxon; §5.5</w:t>
            </w:r>
          </w:p>
        </w:tc>
      </w:tr>
      <w:tr w:rsidR="0062437E" w14:paraId="78498404" w14:textId="77777777" w:rsidTr="006D68FE">
        <w:trPr>
          <w:jc w:val="center"/>
        </w:trPr>
        <w:tc>
          <w:tcPr>
            <w:tcW w:w="3114" w:type="dxa"/>
          </w:tcPr>
          <w:p>
            <w:r>
              <w:t>Satisfaction association with sustained engagement (Stage 2)</w:t>
            </w:r>
          </w:p>
        </w:tc>
        <w:tc>
          <w:tcPr>
            <w:tcW w:w="1092" w:type="dxa"/>
          </w:tcPr>
          <w:p>
            <w:r>
              <w:t>9/9 vs 11/21 satisfied</w:t>
            </w:r>
          </w:p>
        </w:tc>
        <w:tc>
          <w:tcPr>
            <w:tcW w:w="1280" w:type="dxa"/>
          </w:tcPr>
          <w:p>
            <w:r>
              <w:t>p = 0.013</w:t>
            </w:r>
          </w:p>
        </w:tc>
        <w:tc>
          <w:tcPr>
            <w:tcW w:w="605" w:type="dxa"/>
          </w:tcPr>
          <w:p>
            <w:r>
              <w:t>30</w:t>
            </w:r>
          </w:p>
        </w:tc>
        <w:tc>
          <w:tcPr>
            <w:tcW w:w="2090" w:type="dxa"/>
          </w:tcPr>
          <w:p>
            <w:r>
              <w:t>Fisher's exact test; §5.5</w:t>
            </w:r>
          </w:p>
        </w:tc>
      </w:tr>
      <w:tr w:rsidR="0062437E" w14:paraId="3FC6966D" w14:textId="77777777" w:rsidTr="006D68FE">
        <w:trPr>
          <w:jc w:val="center"/>
        </w:trPr>
        <w:tc>
          <w:tcPr>
            <w:tcW w:w="3114" w:type="dxa"/>
          </w:tcPr>
          <w:p w14:paraId="375A960C" w14:textId="77777777" w:rsidR="0062437E" w:rsidRDefault="00000000">
            <w:r>
              <w:rPr>
                <w:sz w:val="18"/>
              </w:rPr>
              <w:t>Re-engagement after dropout (Stage 2)</w:t>
            </w:r>
          </w:p>
        </w:tc>
        <w:tc>
          <w:tcPr>
            <w:tcW w:w="1092" w:type="dxa"/>
          </w:tcPr>
          <w:p w14:paraId="293B294C" w14:textId="77777777" w:rsidR="0062437E" w:rsidRDefault="00000000">
            <w:r>
              <w:rPr>
                <w:sz w:val="18"/>
              </w:rPr>
              <w:t>0.0%</w:t>
            </w:r>
          </w:p>
        </w:tc>
        <w:tc>
          <w:tcPr>
            <w:tcW w:w="1280" w:type="dxa"/>
          </w:tcPr>
          <w:p w14:paraId="5DAC0167" w14:textId="77777777" w:rsidR="0062437E" w:rsidRDefault="00000000">
            <w:r>
              <w:rPr>
                <w:sz w:val="18"/>
              </w:rPr>
              <w:t>0.0–15.5%*</w:t>
            </w:r>
          </w:p>
        </w:tc>
        <w:tc>
          <w:tcPr>
            <w:tcW w:w="605" w:type="dxa"/>
          </w:tcPr>
          <w:p w14:paraId="2ABEC07C" w14:textId="77777777" w:rsidR="0062437E" w:rsidRDefault="00000000">
            <w:r>
              <w:rPr>
                <w:sz w:val="18"/>
              </w:rPr>
              <w:t>21</w:t>
            </w:r>
          </w:p>
        </w:tc>
        <w:tc>
          <w:tcPr>
            <w:tcW w:w="2090" w:type="dxa"/>
          </w:tcPr>
          <w:p w14:paraId="72EB1662" w14:textId="77777777" w:rsidR="0062437E" w:rsidRDefault="00000000">
            <w:r>
              <w:rPr>
                <w:sz w:val="18"/>
              </w:rPr>
              <w:t>Wilson score interval; Table 5.2</w:t>
            </w:r>
          </w:p>
        </w:tc>
      </w:tr>
      <w:tr w:rsidR="0062437E" w14:paraId="0E937415" w14:textId="77777777" w:rsidTr="006D68FE">
        <w:trPr>
          <w:jc w:val="center"/>
        </w:trPr>
        <w:tc>
          <w:tcPr>
            <w:tcW w:w="3114" w:type="dxa"/>
          </w:tcPr>
          <w:p w14:paraId="4085B1EF" w14:textId="77777777" w:rsidR="0062437E" w:rsidRDefault="00000000">
            <w:r>
              <w:rPr>
                <w:sz w:val="18"/>
              </w:rPr>
              <w:t>Return after initial dropout, all bands (Stage 3)</w:t>
            </w:r>
          </w:p>
        </w:tc>
        <w:tc>
          <w:tcPr>
            <w:tcW w:w="1092" w:type="dxa"/>
          </w:tcPr>
          <w:p w14:paraId="6407EB99" w14:textId="77777777" w:rsidR="0062437E" w:rsidRDefault="00000000">
            <w:r>
              <w:rPr>
                <w:sz w:val="18"/>
              </w:rPr>
              <w:t>65.2%</w:t>
            </w:r>
          </w:p>
        </w:tc>
        <w:tc>
          <w:tcPr>
            <w:tcW w:w="1280" w:type="dxa"/>
          </w:tcPr>
          <w:p w14:paraId="1EE63B41" w14:textId="77777777" w:rsidR="0062437E" w:rsidRDefault="00000000">
            <w:r>
              <w:rPr>
                <w:sz w:val="18"/>
              </w:rPr>
              <w:t>44.9–81.2%*</w:t>
            </w:r>
          </w:p>
        </w:tc>
        <w:tc>
          <w:tcPr>
            <w:tcW w:w="605" w:type="dxa"/>
          </w:tcPr>
          <w:p w14:paraId="017BEAF5" w14:textId="77777777" w:rsidR="0062437E" w:rsidRDefault="00000000">
            <w:r>
              <w:rPr>
                <w:sz w:val="18"/>
              </w:rPr>
              <w:t>23</w:t>
            </w:r>
          </w:p>
        </w:tc>
        <w:tc>
          <w:tcPr>
            <w:tcW w:w="2090" w:type="dxa"/>
          </w:tcPr>
          <w:p w14:paraId="09F17147" w14:textId="77777777" w:rsidR="0062437E" w:rsidRDefault="00000000">
            <w:r>
              <w:rPr>
                <w:sz w:val="18"/>
              </w:rPr>
              <w:t>Wilson score interval; Table 6.1</w:t>
            </w:r>
          </w:p>
        </w:tc>
      </w:tr>
      <w:tr w:rsidR="0062437E" w14:paraId="0A9A89D1" w14:textId="77777777" w:rsidTr="006D68FE">
        <w:trPr>
          <w:jc w:val="center"/>
        </w:trPr>
        <w:tc>
          <w:tcPr>
            <w:tcW w:w="3114" w:type="dxa"/>
          </w:tcPr>
          <w:p w14:paraId="49D90CF4" w14:textId="77777777" w:rsidR="0062437E" w:rsidRDefault="00000000">
            <w:r>
              <w:rPr>
                <w:sz w:val="18"/>
              </w:rPr>
              <w:t>Return after initial dropout, 65–80 band (Stage 3)</w:t>
            </w:r>
          </w:p>
        </w:tc>
        <w:tc>
          <w:tcPr>
            <w:tcW w:w="1092" w:type="dxa"/>
          </w:tcPr>
          <w:p w14:paraId="26D2BB21" w14:textId="77777777" w:rsidR="0062437E" w:rsidRDefault="00000000">
            <w:r>
              <w:rPr>
                <w:sz w:val="18"/>
              </w:rPr>
              <w:t>62.5%</w:t>
            </w:r>
          </w:p>
        </w:tc>
        <w:tc>
          <w:tcPr>
            <w:tcW w:w="1280" w:type="dxa"/>
          </w:tcPr>
          <w:p w14:paraId="7D61B1FB" w14:textId="77777777" w:rsidR="0062437E" w:rsidRDefault="00000000">
            <w:r>
              <w:rPr>
                <w:sz w:val="18"/>
              </w:rPr>
              <w:t>38.6–81.5%*</w:t>
            </w:r>
          </w:p>
        </w:tc>
        <w:tc>
          <w:tcPr>
            <w:tcW w:w="605" w:type="dxa"/>
          </w:tcPr>
          <w:p w14:paraId="27F5F7F3" w14:textId="77777777" w:rsidR="0062437E" w:rsidRDefault="00000000">
            <w:r>
              <w:rPr>
                <w:sz w:val="18"/>
              </w:rPr>
              <w:t>16</w:t>
            </w:r>
          </w:p>
        </w:tc>
        <w:tc>
          <w:tcPr>
            <w:tcW w:w="2090" w:type="dxa"/>
          </w:tcPr>
          <w:p w14:paraId="2235F23B" w14:textId="77777777" w:rsidR="0062437E" w:rsidRDefault="00000000">
            <w:r>
              <w:rPr>
                <w:sz w:val="18"/>
              </w:rPr>
              <w:t>Wilson score interval; Table 6.2</w:t>
            </w:r>
          </w:p>
        </w:tc>
      </w:tr>
      <w:tr w:rsidR="0062437E" w14:paraId="40902E18" w14:textId="77777777" w:rsidTr="006D68FE">
        <w:trPr>
          <w:jc w:val="center"/>
        </w:trPr>
        <w:tc>
          <w:tcPr>
            <w:tcW w:w="3114" w:type="dxa"/>
          </w:tcPr>
          <w:p w14:paraId="65A5DC3C" w14:textId="77777777" w:rsidR="00EE7E37" w:rsidRDefault="00000000">
            <w:r>
              <w:t>Observed non-return, 65-80 band (Stage 3)</w:t>
            </w:r>
          </w:p>
        </w:tc>
        <w:tc>
          <w:tcPr>
            <w:tcW w:w="1092" w:type="dxa"/>
          </w:tcPr>
          <w:p w14:paraId="26FEC450" w14:textId="77777777" w:rsidR="0062437E" w:rsidRDefault="00000000">
            <w:r>
              <w:t>14.6%</w:t>
            </w:r>
          </w:p>
        </w:tc>
        <w:tc>
          <w:tcPr>
            <w:tcW w:w="1280" w:type="dxa"/>
          </w:tcPr>
          <w:p w14:paraId="16BDF4BA" w14:textId="77777777" w:rsidR="0062437E" w:rsidRDefault="00000000">
            <w:r>
              <w:t>6.9–28.4%*</w:t>
            </w:r>
          </w:p>
        </w:tc>
        <w:tc>
          <w:tcPr>
            <w:tcW w:w="605" w:type="dxa"/>
          </w:tcPr>
          <w:p w14:paraId="106237E0" w14:textId="77777777" w:rsidR="0062437E" w:rsidRDefault="00000000">
            <w:r>
              <w:t>41</w:t>
            </w:r>
          </w:p>
        </w:tc>
        <w:tc>
          <w:tcPr>
            <w:tcW w:w="2090" w:type="dxa"/>
          </w:tcPr>
          <w:p w14:paraId="2306379C" w14:textId="77777777" w:rsidR="0062437E" w:rsidRDefault="00000000">
            <w:r>
              <w:rPr>
                <w:sz w:val="18"/>
              </w:rPr>
              <w:t>Wilson score interval; Table 6.2</w:t>
            </w:r>
          </w:p>
        </w:tc>
      </w:tr>
      <w:tr w:rsidR="0062437E" w14:paraId="3D6B62BF" w14:textId="77777777" w:rsidTr="006D68FE">
        <w:trPr>
          <w:jc w:val="center"/>
        </w:trPr>
        <w:tc>
          <w:tcPr>
            <w:tcW w:w="3114" w:type="dxa"/>
          </w:tcPr>
          <w:p w14:paraId="76452110" w14:textId="77777777" w:rsidR="0062437E" w:rsidRDefault="00000000">
            <w:r>
              <w:rPr>
                <w:sz w:val="18"/>
              </w:rPr>
              <w:t>Coordination challenge endorsement (Stage 3)</w:t>
            </w:r>
          </w:p>
        </w:tc>
        <w:tc>
          <w:tcPr>
            <w:tcW w:w="1092" w:type="dxa"/>
          </w:tcPr>
          <w:p w14:paraId="5512548D" w14:textId="77777777" w:rsidR="0062437E" w:rsidRDefault="00000000">
            <w:r>
              <w:rPr>
                <w:sz w:val="18"/>
              </w:rPr>
              <w:t>71.7%</w:t>
            </w:r>
          </w:p>
        </w:tc>
        <w:tc>
          <w:tcPr>
            <w:tcW w:w="1280" w:type="dxa"/>
          </w:tcPr>
          <w:p w14:paraId="3B429B16" w14:textId="77777777" w:rsidR="0062437E" w:rsidRDefault="00000000">
            <w:r>
              <w:rPr>
                <w:sz w:val="18"/>
              </w:rPr>
              <w:t>63.0–79.0%*</w:t>
            </w:r>
          </w:p>
        </w:tc>
        <w:tc>
          <w:tcPr>
            <w:tcW w:w="605" w:type="dxa"/>
          </w:tcPr>
          <w:p w14:paraId="05446A1F" w14:textId="77777777" w:rsidR="0062437E" w:rsidRDefault="00000000">
            <w:r>
              <w:rPr>
                <w:sz w:val="18"/>
              </w:rPr>
              <w:t>120</w:t>
            </w:r>
          </w:p>
        </w:tc>
        <w:tc>
          <w:tcPr>
            <w:tcW w:w="2090" w:type="dxa"/>
          </w:tcPr>
          <w:p w14:paraId="2CA7D38C" w14:textId="77777777" w:rsidR="0062437E" w:rsidRDefault="00000000">
            <w:r>
              <w:rPr>
                <w:sz w:val="18"/>
              </w:rPr>
              <w:t>Wilson score interval; Table 6.3</w:t>
            </w:r>
          </w:p>
        </w:tc>
      </w:tr>
      <w:tr w:rsidR="0062437E" w14:paraId="4DD4995E" w14:textId="77777777" w:rsidTr="006D68FE">
        <w:trPr>
          <w:jc w:val="center"/>
        </w:trPr>
        <w:tc>
          <w:tcPr>
            <w:tcW w:w="3114" w:type="dxa"/>
          </w:tcPr>
          <w:p w14:paraId="5BB81EC3" w14:textId="77777777" w:rsidR="0062437E" w:rsidRDefault="00000000">
            <w:r>
              <w:rPr>
                <w:sz w:val="18"/>
              </w:rPr>
              <w:lastRenderedPageBreak/>
              <w:t>Regular-use intention, 65–80 band (Stage 3)</w:t>
            </w:r>
          </w:p>
        </w:tc>
        <w:tc>
          <w:tcPr>
            <w:tcW w:w="1092" w:type="dxa"/>
          </w:tcPr>
          <w:p w14:paraId="418115D4" w14:textId="77777777" w:rsidR="0062437E" w:rsidRDefault="00000000">
            <w:r>
              <w:t>56.1%</w:t>
            </w:r>
          </w:p>
        </w:tc>
        <w:tc>
          <w:tcPr>
            <w:tcW w:w="1280" w:type="dxa"/>
          </w:tcPr>
          <w:p w14:paraId="102F2A94" w14:textId="77777777" w:rsidR="0062437E" w:rsidRDefault="00000000">
            <w:r>
              <w:t>41.0–70.1%*</w:t>
            </w:r>
          </w:p>
        </w:tc>
        <w:tc>
          <w:tcPr>
            <w:tcW w:w="605" w:type="dxa"/>
          </w:tcPr>
          <w:p w14:paraId="7C812AF5" w14:textId="77777777" w:rsidR="0062437E" w:rsidRDefault="00000000">
            <w:r>
              <w:t>41</w:t>
            </w:r>
          </w:p>
        </w:tc>
        <w:tc>
          <w:tcPr>
            <w:tcW w:w="2090" w:type="dxa"/>
          </w:tcPr>
          <w:p w14:paraId="0259E5E1" w14:textId="77777777" w:rsidR="0062437E" w:rsidRDefault="00000000">
            <w:r>
              <w:rPr>
                <w:sz w:val="18"/>
              </w:rPr>
              <w:t>Wilson score interval; Table 6.3</w:t>
            </w:r>
          </w:p>
        </w:tc>
      </w:tr>
      <w:tr w:rsidR="0062437E" w14:paraId="2EE3BA08" w14:textId="77777777" w:rsidTr="006D68FE">
        <w:trPr>
          <w:jc w:val="center"/>
        </w:trPr>
        <w:tc>
          <w:tcPr>
            <w:tcW w:w="3114" w:type="dxa"/>
          </w:tcPr>
          <w:p w14:paraId="700C8091" w14:textId="77777777" w:rsidR="00EE7E37" w:rsidRDefault="00000000">
            <w:r>
              <w:t>Descriptive retention-intention difference, 65-80 band (Stage 3)</w:t>
            </w:r>
          </w:p>
        </w:tc>
        <w:tc>
          <w:tcPr>
            <w:tcW w:w="1092" w:type="dxa"/>
          </w:tcPr>
          <w:p w14:paraId="2AAD2E38" w14:textId="77777777" w:rsidR="0062437E" w:rsidRDefault="00000000">
            <w:r>
              <w:t>29.3 pp</w:t>
            </w:r>
          </w:p>
        </w:tc>
        <w:tc>
          <w:tcPr>
            <w:tcW w:w="1280" w:type="dxa"/>
          </w:tcPr>
          <w:p w14:paraId="50D2D144" w14:textId="77777777" w:rsidR="0062437E" w:rsidRDefault="00000000">
            <w:r>
              <w:rPr>
                <w:sz w:val="18"/>
              </w:rPr>
              <w:t>see note</w:t>
            </w:r>
          </w:p>
        </w:tc>
        <w:tc>
          <w:tcPr>
            <w:tcW w:w="605" w:type="dxa"/>
          </w:tcPr>
          <w:p w14:paraId="42B2FD03" w14:textId="77777777" w:rsidR="0062437E" w:rsidRDefault="00000000">
            <w:r>
              <w:t>41</w:t>
            </w:r>
          </w:p>
        </w:tc>
        <w:tc>
          <w:tcPr>
            <w:tcW w:w="2090" w:type="dxa"/>
          </w:tcPr>
          <w:p w14:paraId="67A137BA" w14:textId="77777777" w:rsidR="00EE7E37" w:rsidRDefault="00000000">
            <w:r>
              <w:t>Difference between distinct outcomes (85.4% retention and 56.1% stated intention); §6.8</w:t>
            </w:r>
          </w:p>
        </w:tc>
      </w:tr>
    </w:tbl>
    <w:p w14:paraId="7164881D" w14:textId="77777777" w:rsidR="0062437E" w:rsidRDefault="00000000">
      <w:pPr>
        <w:jc w:val="both"/>
      </w:pPr>
      <w: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29.3-percentage-point difference should respect the fact that retention and intention are distinct measures and may not represent a simple paired effect. The earlier motivational-orientation odds ratio has been withdrawn (§5.5).</w:t>
      </w:r>
    </w:p>
    <w:p w14:paraId="38C6BE1E"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11" w:name="_Toc232024600"/>
      <w:r>
        <w:br w:type="page"/>
      </w:r>
    </w:p>
    <w:p w14:paraId="3B7848DC" w14:textId="77777777" w:rsidR="0062437E" w:rsidRDefault="00000000">
      <w:pPr>
        <w:pStyle w:val="Heading1"/>
        <w:pageBreakBefore/>
      </w:pPr>
      <w:bookmarkEnd w:id="111"/>
      <w:r>
        <w:t>Chapter 7 Discussion: Adaptive Learning as the Behavioural-Change Driver</w:t>
      </w:r>
    </w:p>
    <w:p w14:paraId="108FF019" w14:textId="77777777" w:rsidR="0062437E" w:rsidRDefault="00000000">
      <w:pPr>
        <w:pStyle w:val="Heading2"/>
      </w:pPr>
      <w:r>
        <w:t>7.1 Why the Empirical Programme Forces Adaptive Learning</w:t>
      </w:r>
    </w:p>
    <w:p w14:paraId="7CFAB031" w14:textId="77777777" w:rsidR="0062437E" w:rsidRDefault="00000000">
      <w:pPr>
        <w:jc w:val="both"/>
      </w:pPr>
      <w:r>
        <w:t>This chapter formalises the programme's principal design discovery. Chapter 6 ended on a dilemma: decoupling removed what was poisoning engagement — post-failure return rose substantially in the decoupled cohort — but it added no positive reason for repeated use, as the 29.3-percentage-point gap between session retention and regular-use intention in the oldest band showed; and decoupling cannot be the final answer in any case, because the FRA's clinical purpose is the point of deploying it and must eventually return to the experience. Adaptive learning is the design discovery that resolves the dilemma (§6.8): make the activity visibly improve the person, session by session, so that a rising personal trajectory becomes the reason to return — and eventually becomes the frame within which the clinical purpose can be re-attached without re-igniting the identity threat. The empirical programme is what makes this discovery visible; whether adaptive learning closes the observed gap is precisely the question the pre-specified confirmatory study is designed to answer, and this chapter builds the framework that study will test.</w:t>
      </w:r>
    </w:p>
    <w:p w14:paraId="38464216" w14:textId="77777777" w:rsidR="0062437E" w:rsidRDefault="00000000">
      <w:pPr>
        <w:jc w:val="both"/>
      </w:pPr>
      <w: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The adaptive-learning framework is therefore an engineering hypothesis built from convergent evidence, not a verified psychological model.</w:t>
      </w:r>
    </w:p>
    <w:p w14:paraId="7A620A40" w14:textId="77777777" w:rsidR="0062437E" w:rsidRDefault="00000000">
      <w:pPr>
        <w:pStyle w:val="Heading2"/>
      </w:pPr>
      <w:bookmarkStart w:id="112" w:name="_Toc232024602"/>
      <w:r>
        <w:t>7.2 Adaptive Learning in the Gamification Literature</w:t>
      </w:r>
      <w:bookmarkEnd w:id="112"/>
    </w:p>
    <w:p w14:paraId="1E30254D" w14:textId="77777777" w:rsidR="0062437E" w:rsidRDefault="00000000">
      <w:pPr>
        <w:jc w:val="both"/>
      </w:pPr>
      <w:r>
        <w:t>Adaptive learning has a substantial literature in educational technology and intelligent tutoring systems. Its application to elderly users in gamified health contexts is more limited. Three anchors are relevant. First, the ageing-HCI evidence (Hawthorn, 2007; Lee &amp; Coughlin, 2015) shows that pacing and feedback adaptation matter more for older users than for younger users, and the intelligent-tutoring record (VanLehn, 2011) shows how much fine-grained adaptation can deliver. Second, flow theory and the zone-of-proximal-development tradition (Csikszentmihalyi, 1990; Vygotsky, 1978) provide the mechanism for why adaptive calibration sustains engagement: challenge tracks evolving capability, neither falling below boredom nor rising above frustration. Third, productive failure (Kapur, 2008) reframes failure events as part of the learning curve rather than as evidence of inadequacy. The three anchors converge on the same design move: present the activity as a curve and calibrate the difficulty so that the user remains on the curve.</w:t>
      </w:r>
    </w:p>
    <w:p w14:paraId="3813AB9A" w14:textId="77777777" w:rsidR="0062437E" w:rsidRDefault="00000000">
      <w:pPr>
        <w:jc w:val="both"/>
      </w:pPr>
      <w: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adaptive-learning reference stack (§7.5.2) closes that gap.</w:t>
      </w:r>
    </w:p>
    <w:p w14:paraId="65AB085D" w14:textId="77777777" w:rsidR="0062437E" w:rsidRDefault="00000000">
      <w:pPr>
        <w:pStyle w:val="Heading2"/>
      </w:pPr>
      <w:r>
        <w:t>7.3 Endowment-Protective and Learning-Trajectory Appraisals as Competing Design Regimes</w:t>
      </w:r>
    </w:p>
    <w:p w14:paraId="6D6CB452" w14:textId="77777777" w:rsidR="0062437E" w:rsidRDefault="00000000">
      <w:pPr>
        <w:jc w:val="both"/>
      </w:pPr>
      <w: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the adaptive-learning framework trial.</w:t>
      </w:r>
    </w:p>
    <w:p w14:paraId="7E4E9423" w14:textId="77777777" w:rsidR="0062437E" w:rsidRDefault="00000000">
      <w:pPr>
        <w:jc w:val="both"/>
      </w:pPr>
      <w: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14:paraId="27960791" w14:textId="77777777" w:rsidR="0062437E" w:rsidRDefault="00000000">
      <w:pPr>
        <w:pStyle w:val="Heading2"/>
      </w:pPr>
      <w:bookmarkStart w:id="113" w:name="_Toc232024604"/>
      <w:bookmarkEnd w:id="113"/>
      <w:r>
        <w:t>7.4 Formalising the Discovery: The Adaptive-Learning Framework</w:t>
      </w:r>
    </w:p>
    <w:p w14:paraId="41ACFB1A" w14:textId="77777777" w:rsidR="0062437E" w:rsidRDefault="00000000">
      <w:pPr>
        <w:jc w:val="both"/>
      </w:pPr>
      <w:r>
        <w:t>The adaptive-learning framework is the engineering formalisation of the adaptive-learning discovery for the gamified FRA domain — the packaging, not the finding. It organises three proposed principles in the discovery's service.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 The zero-failure state repertoire (§5.3.10; §2.6.2C) is the supporting element that P1 and P3 share: it removes verdict presentation at the moment of difficulty so that the trajectory interpretation of P2 has room to form.</w:t>
      </w:r>
    </w:p>
    <w:p w14:paraId="2429DB7B" w14:textId="77777777" w:rsidR="0062437E" w:rsidRDefault="00000000">
      <w:pPr>
        <w:pStyle w:val="TableCaption"/>
        <w:jc w:val="center"/>
      </w:pPr>
      <w:bookmarkStart w:id="114" w:name="_Toc232024705"/>
      <w:bookmarkEnd w:id="114"/>
      <w:r>
        <w:t>Table 7.1. adaptive-learning principles, function and empirical anchor.</w:t>
      </w:r>
    </w:p>
    <w:tbl>
      <w:tblPr>
        <w:tblStyle w:val="TableGrid"/>
        <w:tblW w:w="0" w:type="auto"/>
        <w:jc w:val="center"/>
        <w:tblLook w:val="04A0" w:firstRow="1" w:lastRow="0" w:firstColumn="1" w:lastColumn="0" w:noHBand="0" w:noVBand="1"/>
      </w:tblPr>
      <w:tblGrid>
        <w:gridCol w:w="2833"/>
        <w:gridCol w:w="2831"/>
        <w:gridCol w:w="2831"/>
      </w:tblGrid>
      <w:tr w:rsidR="0062437E" w14:paraId="4B5C0DAD" w14:textId="77777777">
        <w:trPr>
          <w:jc w:val="center"/>
        </w:trPr>
        <w:tc>
          <w:tcPr>
            <w:tcW w:w="2835" w:type="dxa"/>
          </w:tcPr>
          <w:p w14:paraId="74D5B8A6" w14:textId="77777777" w:rsidR="0062437E" w:rsidRDefault="00000000">
            <w:r>
              <w:rPr>
                <w:b/>
                <w:sz w:val="20"/>
              </w:rPr>
              <w:t>Principle</w:t>
            </w:r>
          </w:p>
        </w:tc>
        <w:tc>
          <w:tcPr>
            <w:tcW w:w="2835" w:type="dxa"/>
          </w:tcPr>
          <w:p w14:paraId="4619B6A2" w14:textId="77777777" w:rsidR="0062437E" w:rsidRDefault="00000000">
            <w:r>
              <w:rPr>
                <w:b/>
                <w:sz w:val="20"/>
              </w:rPr>
              <w:t>What it does</w:t>
            </w:r>
          </w:p>
        </w:tc>
        <w:tc>
          <w:tcPr>
            <w:tcW w:w="2835" w:type="dxa"/>
          </w:tcPr>
          <w:p w14:paraId="63804821" w14:textId="77777777" w:rsidR="0062437E" w:rsidRDefault="00000000">
            <w:r>
              <w:rPr>
                <w:b/>
                <w:sz w:val="20"/>
              </w:rPr>
              <w:t>Empirical anchor</w:t>
            </w:r>
          </w:p>
        </w:tc>
      </w:tr>
      <w:tr w:rsidR="0062437E" w14:paraId="58C2E914" w14:textId="77777777">
        <w:trPr>
          <w:jc w:val="center"/>
        </w:trPr>
        <w:tc>
          <w:tcPr>
            <w:tcW w:w="2835" w:type="dxa"/>
          </w:tcPr>
          <w:p w14:paraId="25859112" w14:textId="77777777" w:rsidR="0062437E" w:rsidRDefault="00000000">
            <w:r>
              <w:rPr>
                <w:sz w:val="20"/>
              </w:rPr>
              <w:t>P1 Identity Disentanglement</w:t>
            </w:r>
          </w:p>
        </w:tc>
        <w:tc>
          <w:tcPr>
            <w:tcW w:w="2835" w:type="dxa"/>
          </w:tcPr>
          <w:p w14:paraId="101B369C" w14:textId="77777777" w:rsidR="0062437E" w:rsidRDefault="00000000">
            <w:r>
              <w:rPr>
                <w:sz w:val="20"/>
              </w:rPr>
              <w:t>Removes the cue that sorts the activity into the user's health account</w:t>
            </w:r>
          </w:p>
        </w:tc>
        <w:tc>
          <w:tcPr>
            <w:tcW w:w="2835" w:type="dxa"/>
          </w:tcPr>
          <w:p w14:paraId="7F0AB4B1" w14:textId="77777777" w:rsidR="00EE7E37" w:rsidRDefault="00000000">
            <w:r>
              <w:t>Motivated by higher post-failure return in the separate Stage-3 decoupled cohort</w:t>
            </w:r>
          </w:p>
        </w:tc>
      </w:tr>
      <w:tr w:rsidR="0062437E" w14:paraId="2E7FAD01" w14:textId="77777777">
        <w:trPr>
          <w:jc w:val="center"/>
        </w:trPr>
        <w:tc>
          <w:tcPr>
            <w:tcW w:w="2835" w:type="dxa"/>
          </w:tcPr>
          <w:p w14:paraId="48748AFE" w14:textId="77777777" w:rsidR="0062437E" w:rsidRDefault="00000000">
            <w:r>
              <w:rPr>
                <w:sz w:val="20"/>
              </w:rPr>
              <w:t>P2 Trajectory Installation</w:t>
            </w:r>
          </w:p>
        </w:tc>
        <w:tc>
          <w:tcPr>
            <w:tcW w:w="2835" w:type="dxa"/>
          </w:tcPr>
          <w:p w14:paraId="3A050D3D" w14:textId="77777777" w:rsidR="0062437E" w:rsidRDefault="00000000">
            <w:r>
              <w:rPr>
                <w:sz w:val="20"/>
              </w:rPr>
              <w:t>Makes a dynamic self-concept trajectory the reference point against which performance is read</w:t>
            </w:r>
          </w:p>
        </w:tc>
        <w:tc>
          <w:tcPr>
            <w:tcW w:w="2835" w:type="dxa"/>
          </w:tcPr>
          <w:p w14:paraId="6ED9A444" w14:textId="77777777" w:rsidR="00EE7E37" w:rsidRDefault="00000000">
            <w:r>
              <w:t>Motivated by the descriptive retention-intention difference; causal mechanism untested</w:t>
            </w:r>
          </w:p>
        </w:tc>
      </w:tr>
      <w:tr w:rsidR="0062437E" w14:paraId="0D710966" w14:textId="77777777">
        <w:trPr>
          <w:jc w:val="center"/>
        </w:trPr>
        <w:tc>
          <w:tcPr>
            <w:tcW w:w="2835" w:type="dxa"/>
          </w:tcPr>
          <w:p w14:paraId="731CD335" w14:textId="77777777" w:rsidR="0062437E" w:rsidRDefault="00000000">
            <w:r>
              <w:rPr>
                <w:sz w:val="20"/>
              </w:rPr>
              <w:t>P3 Adaptive Calibration</w:t>
            </w:r>
          </w:p>
        </w:tc>
        <w:tc>
          <w:tcPr>
            <w:tcW w:w="2835" w:type="dxa"/>
          </w:tcPr>
          <w:p w14:paraId="33DF7BE9" w14:textId="77777777" w:rsidR="0062437E" w:rsidRDefault="00000000">
            <w:r>
              <w:rPr>
                <w:sz w:val="20"/>
              </w:rPr>
              <w:t>Continuously matches challenge, feedback affect and pacing to the user's position</w:t>
            </w:r>
          </w:p>
        </w:tc>
        <w:tc>
          <w:tcPr>
            <w:tcW w:w="2835" w:type="dxa"/>
          </w:tcPr>
          <w:p w14:paraId="1FA16374" w14:textId="77777777" w:rsidR="00EE7E37" w:rsidRDefault="00000000">
            <w:r>
              <w:t>Partial difficulty adaptation in Stage 2; complete principle untested</w:t>
            </w:r>
          </w:p>
        </w:tc>
      </w:tr>
    </w:tbl>
    <w:p w14:paraId="448240A2" w14:textId="77777777" w:rsidR="0062437E" w:rsidRDefault="0062437E">
      <w:pPr>
        <w:spacing w:after="40"/>
      </w:pPr>
      <w: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14:paraId="53F651A1" w14:textId="77777777" w:rsidR="0062437E" w:rsidRDefault="00000000">
      <w:pPr>
        <w:pStyle w:val="Heading2"/>
      </w:pPr>
      <w:bookmarkStart w:id="115" w:name="_Toc232024605"/>
      <w:bookmarkEnd w:id="115"/>
      <w:r>
        <w:t>7.5 Prototype Stack: Engineering-Actionable Implementation</w:t>
      </w:r>
    </w:p>
    <w:p w14:paraId="2BA671F8" w14:textId="77777777" w:rsidR="0062437E" w:rsidRDefault="00000000">
      <w:pPr>
        <w:jc w:val="both"/>
      </w:pPr>
      <w:r>
        <w:t>This section specifies the technical and protocol stack required to deploy the adaptive-learning framework on existing FRA infrastructure. The stack extends the Stage-2 five-layer architecture with two additional protocol layers (User-Facing Trajectory Layer and Staff Coaching Protocol Layer) and one new instrumentation layer (Adaptive-Learning Telemetry Layer).</w:t>
      </w:r>
    </w:p>
    <w:p w14:paraId="2B6F00D3" w14:textId="77777777" w:rsidR="0062437E" w:rsidRDefault="00000000">
      <w:pPr>
        <w:pStyle w:val="Heading3"/>
      </w:pPr>
      <w:bookmarkStart w:id="116" w:name="_Toc232024606"/>
      <w:r>
        <w:t>7.5.1 Reference Stack</w:t>
      </w:r>
      <w:bookmarkEnd w:id="116"/>
    </w:p>
    <w:p w14:paraId="5C7F6E4D" w14:textId="77777777" w:rsidR="0062437E" w:rsidRDefault="00000000">
      <w:pPr>
        <w:pStyle w:val="TableCaption"/>
        <w:jc w:val="center"/>
      </w:pPr>
      <w:bookmarkStart w:id="117" w:name="_Toc232024706"/>
      <w:bookmarkEnd w:id="117"/>
      <w:r>
        <w:t>Table 7.2. adaptive-learning reference stack (L0–L7) mapped to adaptive-learning principles.</w:t>
      </w:r>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14:paraId="1FB75D09" w14:textId="77777777" w:rsidR="0062437E" w:rsidRDefault="00000000">
            <w:r>
              <w:rPr>
                <w:b/>
                <w:sz w:val="20"/>
              </w:rPr>
              <w:lastRenderedPageBreak/>
              <w:t>Layer</w:t>
            </w:r>
          </w:p>
        </w:tc>
        <w:tc>
          <w:tcPr>
            <w:tcW w:w="3118" w:type="dxa"/>
          </w:tcPr>
          <w:p w14:paraId="5878ECAC" w14:textId="77777777" w:rsidR="0062437E" w:rsidRDefault="00000000">
            <w:r>
              <w:rPr>
                <w:b/>
                <w:sz w:val="20"/>
              </w:rPr>
              <w:t>Component</w:t>
            </w:r>
          </w:p>
        </w:tc>
        <w:tc>
          <w:tcPr>
            <w:tcW w:w="1700" w:type="dxa"/>
          </w:tcPr>
          <w:p w14:paraId="321C6A7C" w14:textId="77777777" w:rsidR="0062437E" w:rsidRDefault="00000000">
            <w:r>
              <w:rPr>
                <w:b/>
                <w:sz w:val="20"/>
              </w:rPr>
              <w:t>The adaptive-learning framework principle served</w:t>
            </w:r>
          </w:p>
        </w:tc>
        <w:tc>
          <w:tcPr>
            <w:tcW w:w="2126" w:type="dxa"/>
          </w:tcPr>
          <w:p w14:paraId="072DF563" w14:textId="77777777" w:rsidR="0062437E" w:rsidRDefault="00000000">
            <w:r>
              <w:rPr>
                <w:b/>
                <w:sz w:val="20"/>
              </w:rPr>
              <w:t>Implementation note</w:t>
            </w:r>
          </w:p>
        </w:tc>
      </w:tr>
      <w:tr w:rsidR="0062437E" w14:paraId="15D407AF" w14:textId="77777777" w:rsidTr="00FD5D21">
        <w:trPr>
          <w:jc w:val="center"/>
        </w:trPr>
        <w:tc>
          <w:tcPr>
            <w:tcW w:w="1560" w:type="dxa"/>
          </w:tcPr>
          <w:p w14:paraId="649C178B" w14:textId="77777777" w:rsidR="0062437E" w:rsidRDefault="00000000">
            <w:r>
              <w:rPr>
                <w:sz w:val="20"/>
              </w:rPr>
              <w:t>L0 Sensor</w:t>
            </w:r>
          </w:p>
        </w:tc>
        <w:tc>
          <w:tcPr>
            <w:tcW w:w="3118" w:type="dxa"/>
          </w:tcPr>
          <w:p w14:paraId="53401433" w14:textId="77777777" w:rsidR="0062437E" w:rsidRDefault="00000000">
            <w:r>
              <w:rPr>
                <w:sz w:val="20"/>
              </w:rPr>
              <w:t>InBody pressure panel; same hardware as Stage 2 and 3</w:t>
            </w:r>
          </w:p>
        </w:tc>
        <w:tc>
          <w:tcPr>
            <w:tcW w:w="1700" w:type="dxa"/>
          </w:tcPr>
          <w:p w14:paraId="5C53C729" w14:textId="77777777" w:rsidR="0062437E" w:rsidRDefault="00000000">
            <w:r>
              <w:rPr>
                <w:sz w:val="20"/>
              </w:rPr>
              <w:t>P3</w:t>
            </w:r>
          </w:p>
        </w:tc>
        <w:tc>
          <w:tcPr>
            <w:tcW w:w="2126" w:type="dxa"/>
          </w:tcPr>
          <w:p w14:paraId="150C598C" w14:textId="77777777" w:rsidR="0062437E" w:rsidRDefault="00000000">
            <w:r>
              <w:rPr>
                <w:sz w:val="20"/>
              </w:rPr>
              <w:t>Existing capital; no replacement cost</w:t>
            </w:r>
          </w:p>
        </w:tc>
      </w:tr>
      <w:tr w:rsidR="0062437E" w14:paraId="4A27D47E" w14:textId="77777777" w:rsidTr="00FD5D21">
        <w:trPr>
          <w:jc w:val="center"/>
        </w:trPr>
        <w:tc>
          <w:tcPr>
            <w:tcW w:w="1560" w:type="dxa"/>
          </w:tcPr>
          <w:p w14:paraId="0237846B" w14:textId="77777777" w:rsidR="0062437E" w:rsidRDefault="00000000">
            <w:r>
              <w:rPr>
                <w:sz w:val="20"/>
              </w:rPr>
              <w:t>L1 Game Engine</w:t>
            </w:r>
          </w:p>
        </w:tc>
        <w:tc>
          <w:tcPr>
            <w:tcW w:w="3118" w:type="dxa"/>
          </w:tcPr>
          <w:p w14:paraId="26DFA70F" w14:textId="77777777" w:rsidR="0062437E" w:rsidRDefault="00000000">
            <w:r>
              <w:rPr>
                <w:sz w:val="20"/>
              </w:rPr>
              <w:t>Pygame skiing task generated through Anthropic Claude Code</w:t>
            </w:r>
          </w:p>
        </w:tc>
        <w:tc>
          <w:tcPr>
            <w:tcW w:w="1700" w:type="dxa"/>
          </w:tcPr>
          <w:p w14:paraId="6D18A80A" w14:textId="77777777" w:rsidR="0062437E" w:rsidRDefault="00000000">
            <w:r>
              <w:rPr>
                <w:sz w:val="20"/>
              </w:rPr>
              <w:t>P3</w:t>
            </w:r>
          </w:p>
        </w:tc>
        <w:tc>
          <w:tcPr>
            <w:tcW w:w="2126" w:type="dxa"/>
          </w:tcPr>
          <w:p w14:paraId="65F38450" w14:textId="77777777" w:rsidR="0062437E" w:rsidRDefault="00000000">
            <w:r>
              <w:rPr>
                <w:sz w:val="20"/>
              </w:rPr>
              <w:t>Prompt-driven regeneration; clinician-editable difficulty curves</w:t>
            </w:r>
          </w:p>
        </w:tc>
      </w:tr>
      <w:tr w:rsidR="0062437E" w14:paraId="6EA12EA5" w14:textId="77777777" w:rsidTr="00FD5D21">
        <w:trPr>
          <w:jc w:val="center"/>
        </w:trPr>
        <w:tc>
          <w:tcPr>
            <w:tcW w:w="1560" w:type="dxa"/>
          </w:tcPr>
          <w:p w14:paraId="750FC108" w14:textId="77777777" w:rsidR="0062437E" w:rsidRDefault="00000000">
            <w:r>
              <w:rPr>
                <w:sz w:val="20"/>
              </w:rPr>
              <w:t>L2 AI Adaptation</w:t>
            </w:r>
          </w:p>
        </w:tc>
        <w:tc>
          <w:tcPr>
            <w:tcW w:w="3118" w:type="dxa"/>
          </w:tcPr>
          <w:p w14:paraId="786D593F" w14:textId="77777777" w:rsidR="0062437E" w:rsidRDefault="00000000">
            <w:r>
              <w:rPr>
                <w:sz w:val="20"/>
              </w:rPr>
              <w:t>Claude API + LangChain runtime; obstacle density, speed, feedback affect</w:t>
            </w:r>
          </w:p>
        </w:tc>
        <w:tc>
          <w:tcPr>
            <w:tcW w:w="1700" w:type="dxa"/>
          </w:tcPr>
          <w:p w14:paraId="1605C425" w14:textId="77777777" w:rsidR="0062437E" w:rsidRDefault="00000000">
            <w:r>
              <w:rPr>
                <w:sz w:val="20"/>
              </w:rPr>
              <w:t>P3</w:t>
            </w:r>
          </w:p>
        </w:tc>
        <w:tc>
          <w:tcPr>
            <w:tcW w:w="2126" w:type="dxa"/>
          </w:tcPr>
          <w:p w14:paraId="76427576" w14:textId="77777777" w:rsidR="0062437E" w:rsidRDefault="00000000">
            <w:r>
              <w:rPr>
                <w:sz w:val="20"/>
              </w:rPr>
              <w:t>Extended from difficulty-only to feedback-affect adaptation</w:t>
            </w:r>
          </w:p>
        </w:tc>
      </w:tr>
      <w:tr w:rsidR="0062437E" w14:paraId="09D406A7" w14:textId="77777777" w:rsidTr="00FD5D21">
        <w:trPr>
          <w:jc w:val="center"/>
        </w:trPr>
        <w:tc>
          <w:tcPr>
            <w:tcW w:w="1560" w:type="dxa"/>
          </w:tcPr>
          <w:p w14:paraId="388756AB" w14:textId="77777777" w:rsidR="0062437E" w:rsidRDefault="00000000">
            <w:r>
              <w:rPr>
                <w:sz w:val="20"/>
              </w:rPr>
              <w:t>L3 Logging</w:t>
            </w:r>
          </w:p>
        </w:tc>
        <w:tc>
          <w:tcPr>
            <w:tcW w:w="3118" w:type="dxa"/>
          </w:tcPr>
          <w:p w14:paraId="3B14B929" w14:textId="77777777" w:rsidR="0062437E" w:rsidRDefault="00000000">
            <w:r>
              <w:rPr>
                <w:sz w:val="20"/>
              </w:rPr>
              <w:t>Cycle counts, COP traces, session affect, dropout flags</w:t>
            </w:r>
          </w:p>
        </w:tc>
        <w:tc>
          <w:tcPr>
            <w:tcW w:w="1700" w:type="dxa"/>
          </w:tcPr>
          <w:p w14:paraId="251027F9" w14:textId="77777777" w:rsidR="0062437E" w:rsidRDefault="00000000">
            <w:r>
              <w:rPr>
                <w:sz w:val="20"/>
              </w:rPr>
              <w:t>P2/P3</w:t>
            </w:r>
          </w:p>
        </w:tc>
        <w:tc>
          <w:tcPr>
            <w:tcW w:w="2126" w:type="dxa"/>
          </w:tcPr>
          <w:p w14:paraId="77DA3945" w14:textId="77777777" w:rsidR="0062437E" w:rsidRDefault="00000000">
            <w:r>
              <w:rPr>
                <w:sz w:val="20"/>
              </w:rPr>
              <w:t>Existing</w:t>
            </w:r>
          </w:p>
        </w:tc>
      </w:tr>
      <w:tr w:rsidR="0062437E" w14:paraId="559E62E6" w14:textId="77777777" w:rsidTr="00FD5D21">
        <w:trPr>
          <w:jc w:val="center"/>
        </w:trPr>
        <w:tc>
          <w:tcPr>
            <w:tcW w:w="1560" w:type="dxa"/>
          </w:tcPr>
          <w:p w14:paraId="260FEE71" w14:textId="77777777" w:rsidR="0062437E" w:rsidRDefault="00000000">
            <w:r>
              <w:rPr>
                <w:sz w:val="20"/>
              </w:rPr>
              <w:t>L4 Clinical Output</w:t>
            </w:r>
          </w:p>
        </w:tc>
        <w:tc>
          <w:tcPr>
            <w:tcW w:w="3118" w:type="dxa"/>
          </w:tcPr>
          <w:p w14:paraId="4C3B1A40" w14:textId="77777777" w:rsidR="0062437E" w:rsidRDefault="00000000">
            <w:r>
              <w:rPr>
                <w:sz w:val="20"/>
              </w:rPr>
              <w:t>Pre/post FRA indices for clinician review (background)</w:t>
            </w:r>
          </w:p>
        </w:tc>
        <w:tc>
          <w:tcPr>
            <w:tcW w:w="1700" w:type="dxa"/>
          </w:tcPr>
          <w:p w14:paraId="126AE1BE" w14:textId="77777777" w:rsidR="0062437E" w:rsidRDefault="00000000">
            <w:r>
              <w:rPr>
                <w:sz w:val="20"/>
              </w:rPr>
              <w:t>—</w:t>
            </w:r>
          </w:p>
        </w:tc>
        <w:tc>
          <w:tcPr>
            <w:tcW w:w="2126" w:type="dxa"/>
          </w:tcPr>
          <w:p w14:paraId="2962FD5B" w14:textId="77777777" w:rsidR="0062437E" w:rsidRDefault="00000000">
            <w:r>
              <w:rPr>
                <w:sz w:val="20"/>
              </w:rPr>
              <w:t>Hidden from participant under P1 frame</w:t>
            </w:r>
          </w:p>
        </w:tc>
      </w:tr>
      <w:tr w:rsidR="0062437E" w14:paraId="4C2EBEAE" w14:textId="77777777" w:rsidTr="00FD5D21">
        <w:trPr>
          <w:jc w:val="center"/>
        </w:trPr>
        <w:tc>
          <w:tcPr>
            <w:tcW w:w="1560" w:type="dxa"/>
          </w:tcPr>
          <w:p w14:paraId="3844FF66" w14:textId="77777777" w:rsidR="0062437E" w:rsidRDefault="00000000">
            <w:r>
              <w:rPr>
                <w:sz w:val="20"/>
              </w:rPr>
              <w:t>L5 User-Facing Trajectory</w:t>
            </w:r>
          </w:p>
        </w:tc>
        <w:tc>
          <w:tcPr>
            <w:tcW w:w="3118" w:type="dxa"/>
          </w:tcPr>
          <w:p w14:paraId="4A06D0D5" w14:textId="77777777" w:rsidR="0062437E" w:rsidRDefault="00000000">
            <w:r>
              <w:rPr>
                <w:sz w:val="20"/>
              </w:rPr>
              <w:t>Progress visualisation that emphasises movement; past sessions framed as steps</w:t>
            </w:r>
          </w:p>
        </w:tc>
        <w:tc>
          <w:tcPr>
            <w:tcW w:w="1700" w:type="dxa"/>
          </w:tcPr>
          <w:p w14:paraId="028660FC" w14:textId="77777777" w:rsidR="0062437E" w:rsidRDefault="00000000">
            <w:r>
              <w:rPr>
                <w:sz w:val="20"/>
              </w:rPr>
              <w:t>P2</w:t>
            </w:r>
          </w:p>
        </w:tc>
        <w:tc>
          <w:tcPr>
            <w:tcW w:w="2126" w:type="dxa"/>
          </w:tcPr>
          <w:p w14:paraId="784362B5" w14:textId="77777777" w:rsidR="0062437E" w:rsidRDefault="00000000">
            <w:r>
              <w:rPr>
                <w:sz w:val="20"/>
              </w:rPr>
              <w:t>New; HTML overlay or device companion screen; no clinical numbers exposed</w:t>
            </w:r>
          </w:p>
        </w:tc>
      </w:tr>
      <w:tr w:rsidR="0062437E" w14:paraId="0C1FEED8" w14:textId="77777777" w:rsidTr="00FD5D21">
        <w:trPr>
          <w:jc w:val="center"/>
        </w:trPr>
        <w:tc>
          <w:tcPr>
            <w:tcW w:w="1560" w:type="dxa"/>
          </w:tcPr>
          <w:p w14:paraId="3855EC75" w14:textId="77777777" w:rsidR="0062437E" w:rsidRDefault="00000000">
            <w:r>
              <w:rPr>
                <w:sz w:val="20"/>
              </w:rPr>
              <w:t>L6 Staff Coaching Protocol</w:t>
            </w:r>
          </w:p>
        </w:tc>
        <w:tc>
          <w:tcPr>
            <w:tcW w:w="3118" w:type="dxa"/>
          </w:tcPr>
          <w:p w14:paraId="535D16C6" w14:textId="77777777" w:rsidR="0062437E" w:rsidRDefault="00000000">
            <w:r>
              <w:rPr>
                <w:sz w:val="20"/>
              </w:rPr>
              <w:t>Mastery-language scripts; reframing scripts; intervention triggers based on L2 telemetry</w:t>
            </w:r>
          </w:p>
        </w:tc>
        <w:tc>
          <w:tcPr>
            <w:tcW w:w="1700" w:type="dxa"/>
          </w:tcPr>
          <w:p w14:paraId="353F94B4" w14:textId="77777777" w:rsidR="0062437E" w:rsidRDefault="00000000">
            <w:r>
              <w:rPr>
                <w:sz w:val="20"/>
              </w:rPr>
              <w:t>P1/P2</w:t>
            </w:r>
          </w:p>
        </w:tc>
        <w:tc>
          <w:tcPr>
            <w:tcW w:w="2126" w:type="dxa"/>
          </w:tcPr>
          <w:p w14:paraId="63389102" w14:textId="77777777" w:rsidR="0062437E" w:rsidRDefault="00000000">
            <w:r>
              <w:rPr>
                <w:sz w:val="20"/>
              </w:rPr>
              <w:t>New; staff training day required; checklists and language cards</w:t>
            </w:r>
          </w:p>
        </w:tc>
      </w:tr>
      <w:tr w:rsidR="0062437E" w14:paraId="05267031" w14:textId="77777777" w:rsidTr="00FD5D21">
        <w:trPr>
          <w:jc w:val="center"/>
        </w:trPr>
        <w:tc>
          <w:tcPr>
            <w:tcW w:w="1560" w:type="dxa"/>
          </w:tcPr>
          <w:p w14:paraId="401A8446" w14:textId="77777777" w:rsidR="0062437E" w:rsidRDefault="00000000">
            <w:r>
              <w:rPr>
                <w:sz w:val="20"/>
              </w:rPr>
              <w:t>L7 Adaptive-Learning Telemetry</w:t>
            </w:r>
          </w:p>
        </w:tc>
        <w:tc>
          <w:tcPr>
            <w:tcW w:w="3118" w:type="dxa"/>
          </w:tcPr>
          <w:p w14:paraId="545146EC" w14:textId="77777777" w:rsidR="0062437E" w:rsidRDefault="00000000">
            <w:r>
              <w:rPr>
                <w:sz w:val="20"/>
              </w:rPr>
              <w:t>Frame-indicator log; account-closure binary; coaching-trigger log; pre/post entropy measure</w:t>
            </w:r>
          </w:p>
        </w:tc>
        <w:tc>
          <w:tcPr>
            <w:tcW w:w="1700" w:type="dxa"/>
          </w:tcPr>
          <w:p w14:paraId="4D1AAF3D" w14:textId="77777777" w:rsidR="0062437E" w:rsidRDefault="00000000">
            <w:r>
              <w:rPr>
                <w:sz w:val="20"/>
              </w:rPr>
              <w:t>—</w:t>
            </w:r>
          </w:p>
        </w:tc>
        <w:tc>
          <w:tcPr>
            <w:tcW w:w="2126" w:type="dxa"/>
          </w:tcPr>
          <w:p w14:paraId="13C19965" w14:textId="77777777" w:rsidR="0062437E" w:rsidRDefault="00000000">
            <w:r>
              <w:rPr>
                <w:sz w:val="20"/>
              </w:rPr>
              <w:t>New; required for the model-comparison plan in §6.10</w:t>
            </w:r>
          </w:p>
        </w:tc>
      </w:tr>
    </w:tbl>
    <w:p w14:paraId="2EAAB9A1" w14:textId="77777777" w:rsidR="0062437E" w:rsidRDefault="0062437E">
      <w:pPr>
        <w:spacing w:after="40"/>
      </w:pPr>
    </w:p>
    <w:p w14:paraId="66A0274F" w14:textId="77777777" w:rsidR="0062437E" w:rsidRDefault="00000000">
      <w:pPr>
        <w:keepNext/>
        <w:spacing w:before="160" w:after="40"/>
        <w:jc w:val="center"/>
      </w:pPr>
      <w:r>
        <w:drawing>
          <wp:inline xmlns:a="http://schemas.openxmlformats.org/drawingml/2006/main" xmlns:pic="http://schemas.openxmlformats.org/drawingml/2006/picture">
            <wp:extent cx="4937760" cy="3347357"/>
            <wp:docPr id="24" name="Picture 24"/>
            <wp:cNvGraphicFramePr>
              <a:graphicFrameLocks noChangeAspect="1"/>
            </wp:cNvGraphicFramePr>
            <a:graphic>
              <a:graphicData uri="http://schemas.openxmlformats.org/drawingml/2006/picture">
                <pic:pic>
                  <pic:nvPicPr>
                    <pic:cNvPr id="0" name="fig_7_1.png"/>
                    <pic:cNvPicPr/>
                  </pic:nvPicPr>
                  <pic:blipFill>
                    <a:blip r:embed="rId33"/>
                    <a:stretch>
                      <a:fillRect/>
                    </a:stretch>
                  </pic:blipFill>
                  <pic:spPr>
                    <a:xfrm>
                      <a:off x="0" y="0"/>
                      <a:ext cx="4937760" cy="3347357"/>
                    </a:xfrm>
                    <a:prstGeom prst="rect"/>
                  </pic:spPr>
                </pic:pic>
              </a:graphicData>
            </a:graphic>
          </wp:inline>
        </w:drawing>
      </w:r>
    </w:p>
    <w:p w14:paraId="2910E907" w14:textId="77777777" w:rsidR="0062437E" w:rsidRDefault="00000000">
      <w:pPr>
        <w:pStyle w:val="FigureCaption"/>
        <w:jc w:val="center"/>
      </w:pPr>
      <w:bookmarkStart w:id="118" w:name="_Toc232024692"/>
      <w:bookmarkEnd w:id="118"/>
      <w:r>
        <w:t>Figure 7.1. adaptive-learning reference stack: existing five-layer FRA architecture (L0–L4) extended with three additional layers (L5 User-Facing Trajectory; L6 Staff Coaching Protocol; L7 Adaptive-Learning Telemetry).</w:t>
      </w:r>
    </w:p>
    <w:p w14:paraId="08C87788" w14:textId="77777777" w:rsidR="0062437E" w:rsidRDefault="00000000">
      <w:pPr>
        <w:pStyle w:val="Heading3"/>
      </w:pPr>
      <w:bookmarkStart w:id="119" w:name="_Toc232024607"/>
      <w:r>
        <w:t>7.5.2 Trajectory Visualisation Specification</w:t>
      </w:r>
      <w:bookmarkEnd w:id="119"/>
    </w:p>
    <w:p w14:paraId="0D9E428C" w14:textId="77777777" w:rsidR="0062437E" w:rsidRDefault="00000000">
      <w:pPr>
        <w:jc w:val="both"/>
      </w:pPr>
      <w: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14:paraId="0B6BB9CC" w14:textId="77777777" w:rsidR="0062437E" w:rsidRDefault="00000000">
      <w:pPr>
        <w:pStyle w:val="Heading3"/>
      </w:pPr>
      <w:bookmarkStart w:id="120" w:name="_Toc232024608"/>
      <w:r>
        <w:t>7.5.3 Coaching Protocol Specification</w:t>
      </w:r>
      <w:bookmarkEnd w:id="120"/>
    </w:p>
    <w:p w14:paraId="3EC37EC8" w14:textId="77777777" w:rsidR="0062437E" w:rsidRDefault="00000000">
      <w:pPr>
        <w:jc w:val="both"/>
      </w:pPr>
      <w:r>
        <w:t xml:space="preserve">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w:t>
        <w:lastRenderedPageBreak/>
        <w:t>standardised, culturally adapted and audited for fidelity; coaching should not pressure a participant who chooses not to continue.</w:t>
      </w:r>
    </w:p>
    <w:p>
      <w:pPr>
        <w:pStyle w:val="Heading2"/>
      </w:pPr>
      <w:r>
        <w:t>7.5A One Architecture: Phenomenon, Principles, Engine</w:t>
      </w:r>
    </w:p>
    <w:p>
      <w:r>
        <w:t>The programme's outputs are best read as a single behavioural-engineering architecture rather than as three related ideas. FIAS is the phenomenon layer: it names and explains why older users disengage after failure — a post-contact behaviour driven by identity-level appraisal, characterised across Chapters 4–6. The adaptive-learning framework is the principle layer: it states how systems should be redesigned so that the disengagement is not produced, through identity disentanglement, trajectory installation and adaptive calibration (§7.4). The dynamic game-state architecture of §5.3.10 is the engine layer: it operationalises the principles in real time, monitoring the live performance-state vector and selecting among non-terminal states within pre-specified safety limits, so that the design response arrives at the moment the phenomenon would otherwise begin (§7.6A).</w:t>
      </w:r>
    </w:p>
    <w:p>
      <w:r>
        <w:t>The evidence supports each layer to a different degree, and the architecture inherits those gradations rather than smoothing them over. The phenomenon layer rests on the observed Stage-1 and Stage-2 record, and its frame-sensitivity is indicated — not isolated — by the Stage-3 comparison. The principle layer is derived from that record and from the learning-theory literature, and has not yet been evaluated as a package. The engine layer is an implemented specification whose behavioural effect is untested; its evaluation is pre-specified in §8.8. Stating the three as one architecture does not strengthen any single claim — it fixes where each claim lives, and it is what turns a set of findings into a design theory an engineering team can build against.</w:t>
      </w:r>
    </w:p>
    <w:p w14:paraId="6CE396EB" w14:textId="77777777" w:rsidR="0062437E" w:rsidRDefault="00000000">
      <w:pPr>
        <w:pStyle w:val="Heading2"/>
      </w:pPr>
      <w:bookmarkStart w:id="121" w:name="_Toc232024609"/>
      <w:r>
        <w:t>7.6 Applied Case Studies</w:t>
      </w:r>
      <w:bookmarkEnd w:id="121"/>
    </w:p>
    <w:p w14:paraId="7221B486" w14:textId="77777777" w:rsidR="0062437E" w:rsidRDefault="00000000">
      <w:pPr>
        <w:pStyle w:val="Heading3"/>
      </w:pPr>
      <w:bookmarkStart w:id="122" w:name="_Toc232024610"/>
      <w:r>
        <w:t>7.6.1 Case Study A — FRA Reaction Mode (in development)</w:t>
      </w:r>
      <w:bookmarkEnd w:id="122"/>
    </w:p>
    <w:p w14:paraId="12175BF6" w14:textId="77777777" w:rsidR="0062437E" w:rsidRDefault="00000000">
      <w:pPr>
        <w:jc w:val="both"/>
      </w:pPr>
      <w: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14:paraId="252FB9C5" w14:textId="77777777" w:rsidR="0062437E" w:rsidRDefault="00000000">
      <w:pPr>
        <w:pStyle w:val="Heading3"/>
      </w:pPr>
      <w:bookmarkStart w:id="123" w:name="_Toc232024611"/>
      <w:r>
        <w:t>7.6.2 Case Study B — Continuous Glucose Monitoring (CGM) reframed as a Streak Companion (illustrative)</w:t>
      </w:r>
      <w:bookmarkEnd w:id="123"/>
    </w:p>
    <w:p w14:paraId="32F68665" w14:textId="77777777" w:rsidR="0062437E" w:rsidRDefault="00000000">
      <w:pPr>
        <w:jc w:val="both"/>
      </w:pPr>
      <w: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14:paraId="368EA3A3" w14:textId="77777777" w:rsidR="0062437E" w:rsidRDefault="00000000">
      <w:pPr>
        <w:pStyle w:val="Heading3"/>
      </w:pPr>
      <w:bookmarkStart w:id="124" w:name="_Toc232024612"/>
      <w:r>
        <w:t>7.6.3 Case Study C — Sleep Tracker reframed as an Adventure Log (illustrative)</w:t>
      </w:r>
      <w:bookmarkEnd w:id="124"/>
    </w:p>
    <w:p w14:paraId="192880FB" w14:textId="77777777" w:rsidR="0062437E" w:rsidRDefault="00000000">
      <w:pPr>
        <w:jc w:val="both"/>
      </w:pPr>
      <w: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14:paraId="41E8CBB7" w14:textId="77777777" w:rsidR="0062437E" w:rsidRDefault="00000000">
      <w:pPr>
        <w:pStyle w:val="Heading3"/>
      </w:pPr>
      <w:bookmarkStart w:id="125" w:name="_Toc232024613"/>
      <w:r>
        <w:lastRenderedPageBreak/>
        <w:t>7.6.4 Cross-Case Synthesis</w:t>
      </w:r>
      <w:bookmarkEnd w:id="125"/>
    </w:p>
    <w:p w14:paraId="1ADBFD9B" w14:textId="77777777" w:rsidR="0062437E" w:rsidRDefault="00000000">
      <w:pPr>
        <w:jc w:val="both"/>
      </w:pPr>
      <w: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14:paraId="049CD9C9" w14:textId="77777777" w:rsidR="0062437E" w:rsidRDefault="00000000">
      <w:pPr>
        <w:pStyle w:val="Heading2"/>
      </w:pPr>
      <w:bookmarkStart w:id="126" w:name="_Toc232024614"/>
      <w:r>
        <w:t>7.6A Dynamic Game States as a Loss-Free Mechanic: Reflecting the Literature-Review Knowledge Gaps</w:t>
      </w:r>
      <w:bookmarkEnd w:id="126"/>
    </w:p>
    <w:p w14:paraId="105BA986" w14:textId="77777777" w:rsidR="0062437E" w:rsidRDefault="00000000">
      <w:pPr>
        <w:jc w:val="both"/>
      </w:pPr>
      <w: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14:paraId="27832152" w14:textId="77777777" w:rsidR="0062437E" w:rsidRDefault="00000000">
      <w:pPr>
        <w:jc w:val="both"/>
      </w:pPr>
      <w: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14:paraId="6CA1FDA2" w14:textId="77777777" w:rsidR="0062437E" w:rsidRDefault="00000000">
      <w:pPr>
        <w:jc w:val="both"/>
      </w:pPr>
      <w: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lastRenderedPageBreak/>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14:paraId="1D8C2E8F" w14:textId="77777777" w:rsidR="0062437E" w:rsidRDefault="00000000">
      <w:pPr>
        <w:pStyle w:val="Heading2"/>
      </w:pPr>
      <w:bookmarkStart w:id="127" w:name="_Toc232024615"/>
      <w:r>
        <w:t>7.7 Boundary Conditions and Risks</w:t>
      </w:r>
      <w:bookmarkEnd w:id="127"/>
    </w:p>
    <w:p w14:paraId="25E2DD6C" w14:textId="77777777" w:rsidR="0062437E" w:rsidRDefault="00000000">
      <w:pPr>
        <w:jc w:val="both"/>
      </w:pPr>
      <w: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14:paraId="0B5537ED" w14:textId="77777777" w:rsidR="0062437E" w:rsidRDefault="00000000">
      <w:pPr>
        <w:jc w:val="both"/>
      </w:pPr>
      <w: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lastRenderedPageBreak/>
        <w:t>executed, the generalisability of the framework beyond Chinese-cultural settings is an argued expectation, not a demonstrated result.</w:t>
      </w:r>
    </w:p>
    <w:p w14:paraId="5F4F41B5" w14:textId="77777777" w:rsidR="0062437E" w:rsidRDefault="00000000">
      <w:pPr>
        <w:pStyle w:val="Heading2"/>
      </w:pPr>
      <w:bookmarkStart w:id="128" w:name="_Toc232024616"/>
      <w:r>
        <w:t>7.8 Sequencing of the Three Principles</w:t>
      </w:r>
      <w:bookmarkEnd w:id="128"/>
    </w:p>
    <w:p w14:paraId="7E98A8F2" w14:textId="77777777" w:rsidR="0062437E" w:rsidRDefault="00000000">
      <w:pPr>
        <w:jc w:val="both"/>
      </w:pPr>
      <w:r>
        <w:t>The three adaptive-learning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 In the terms of the discovery, P1 is the precondition — it clears the frame, and it is the only principle with field evidence behind it (Stage 3). P2 and P3 together are the adaptive-learning core: the visible curve and the calibration that keeps the user on it. The factorial design matters precisely because the core has not yet been tested with the precondition in place.</w:t>
      </w:r>
    </w:p>
    <w:p w14:paraId="41965735" w14:textId="77777777" w:rsidR="0062437E" w:rsidRDefault="00000000">
      <w:pPr>
        <w:pStyle w:val="Heading2"/>
      </w:pPr>
      <w:bookmarkStart w:id="129" w:name="_Toc232024617"/>
      <w:r>
        <w:t>7.9 Adaptive Learning as Continuous Improvement: Closing the Loop to the EngD Topic</w:t>
      </w:r>
      <w:bookmarkEnd w:id="129"/>
    </w:p>
    <w:p w14:paraId="3F9C5981" w14:textId="77777777" w:rsidR="0062437E" w:rsidRDefault="00000000">
      <w:pPr>
        <w:jc w:val="both"/>
      </w:pPr>
      <w:r>
        <w:t>The EngD programme topic is gamification as a proactive approach for continuous improvement and innovation enhancement, and 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The adaptive-learning framework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14:paraId="6C228E1D" w14:textId="77777777" w:rsidR="0062437E" w:rsidRDefault="00000000">
      <w:pPr>
        <w:jc w:val="both"/>
      </w:pPr>
      <w: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14:paraId="04B2F017" w14:textId="77777777" w:rsidR="0062437E" w:rsidRDefault="00000000">
      <w:pPr>
        <w:jc w:val="both"/>
      </w:pPr>
      <w: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lastRenderedPageBreak/>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14:paraId="5FB15814"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30" w:name="_Toc232024618"/>
      <w:r>
        <w:br w:type="page"/>
      </w:r>
    </w:p>
    <w:p w14:paraId="318CDA2C" w14:textId="77777777" w:rsidR="0062437E" w:rsidRDefault="00000000">
      <w:pPr>
        <w:pStyle w:val="Heading1"/>
        <w:pageBreakBefore/>
      </w:pPr>
      <w:r>
        <w:lastRenderedPageBreak/>
        <w:t>Chapter 8 Contributions, Alternative Explanations, Limitations and Ethics</w:t>
      </w:r>
      <w:bookmarkEnd w:id="130"/>
    </w:p>
    <w:p w14:paraId="039A9AD6" w14:textId="77777777" w:rsidR="0062437E" w:rsidRDefault="00000000">
      <w:pPr>
        <w:pStyle w:val="Heading2"/>
      </w:pPr>
      <w:bookmarkStart w:id="131" w:name="_Toc232024619"/>
      <w:r>
        <w:t>8.1 Theoretical Contributions</w:t>
      </w:r>
      <w:bookmarkEnd w:id="131"/>
    </w:p>
    <w:p w14:paraId="5D32B6D8" w14:textId="77777777" w:rsidR="0062437E" w:rsidRDefault="00000000">
      <w:pPr>
        <w:jc w:val="both"/>
      </w:pPr>
      <w:r>
        <w:rPr>
          <w:i w:val="0"/>
        </w:rPr>
        <w:t>The thesis makes four principal theoretical contributions, stated in the hierarchy the evidence supports. First — the problem finding — it identifies failure-associated non-return (FIAS) as a post-contact behaviour that standard acceptance and gamification models do not represent, and supplies the behavioural pieces those models are missing: loss aversion, identity-relevant endowment, mental accounting and stereotype threat, integrated as a candidate frame-sensitive account with testable predictions (Table 2.1). Second — the scope finding — the evidence supports a boundary condition for gamification theory: the theory holds for older adults, as Stage 3 indicates at literature-predicted acceptance levels, until the gamified activity is attached to a purpose-based technology whose purpose touches the identity-level value propositions of the user; at that boundary the theory fails, and FIAS names the mechanism (§6.7). Third — the design discovery — it advances adaptive learning as the behavioural-change driver for this population: continuous improvement at the level of the individual user, forced as a discovery by the rejection of H0 and by the Stage-3 commitment gap (§6.8), and the only design element on the table that can re-attach clinical purpose safely. Fourth, it formulates endowment-protective and learning-trajectory appraisals as competing interpretive regimes and translates the design discovery into a falsifiable engineering framework, the adaptive-learning framework, which is the packaging of the discovery rather than a finding in its own right. Three questions are deliberately reserved for the confirmatory programme, and reserving them is a strength of the design: the direct measurement of mental accounting and its companion mechanisms, the full resolution of the score-improvement/non-return paradox, and the isolated test of adaptive learning (§8.8). Read together, the contributions form one behavioural-engineering architecture — the phenomenon (FIAS), the principles (the adaptive-learning framework) and the engine (the dynamic game-state architecture) — as set out in §7.5A.</w:t>
      </w:r>
    </w:p>
    <w:p w14:paraId="7D9D51A9" w14:textId="77777777" w:rsidR="0062437E" w:rsidRDefault="00000000">
      <w:pPr>
        <w:pStyle w:val="Heading2"/>
      </w:pPr>
      <w:bookmarkStart w:id="132" w:name="_Toc232024620"/>
      <w:r>
        <w:t>8.2 Methodological Contributions</w:t>
      </w:r>
      <w:bookmarkEnd w:id="132"/>
    </w:p>
    <w:p w14:paraId="1752AE64" w14:textId="77777777" w:rsidR="0062437E" w:rsidRDefault="00000000">
      <w:pPr>
        <w:jc w:val="both"/>
      </w:pPr>
      <w:r>
        <w:t>The methodological contributions are: the null-hypothesis-plus-attribution architecture, in which H0 is built from the literature, tested prospectively under fully provisioned conditions, and its rejection disambiguated by a positive-control stage (Table 3.1); the dual-purpose mechanic linking gameplay and a measurement pathway in one physical action; theory-iterating action research with explicit revision points and an explicit confirmation-versus-discovery discipline (§3.5); the QFD pipeline that translates empirical findings into prioritised design requirements (§5.5A); documentation of the AI-assisted development workflow (recorded as enabling method, §5.3.9); a between-cohort quasi-experimental participant-facing decoupling comparison; and the commitment-gap description separating immediate session behaviour from stated future intention. The decoupling study should not be described as single-variable isolation, because multiple participant-facing cues and the cohort context changed.</w:t>
      </w:r>
    </w:p>
    <w:p w14:paraId="59F8FEAE" w14:textId="77777777" w:rsidR="0062437E" w:rsidRDefault="00000000">
      <w:pPr>
        <w:pStyle w:val="Heading2"/>
      </w:pPr>
      <w:bookmarkStart w:id="133" w:name="_Toc232024621"/>
      <w:r>
        <w:t>8.3 Empirical Contributions</w:t>
      </w:r>
      <w:bookmarkEnd w:id="133"/>
    </w:p>
    <w:p w14:paraId="404F3692" w14:textId="77777777" w:rsidR="0062437E" w:rsidRDefault="00000000">
      <w:pPr>
        <w:jc w:val="both"/>
      </w:pPr>
      <w: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with the full participant-level analysis in progress;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14:paraId="39ED6551" w14:textId="77777777" w:rsidR="0062437E" w:rsidRDefault="00000000">
      <w:pPr>
        <w:pStyle w:val="Heading2"/>
      </w:pPr>
      <w:bookmarkStart w:id="134" w:name="_Toc232024622"/>
      <w:r>
        <w:t>8.4 Industrial and Practical Contributions</w:t>
      </w:r>
      <w:bookmarkEnd w:id="134"/>
    </w:p>
    <w:p w14:paraId="6354ABF1" w14:textId="77777777" w:rsidR="0062437E" w:rsidRDefault="00000000">
      <w:pPr>
        <w:jc w:val="both"/>
      </w:pPr>
      <w:r>
        <w:t>The practical contribution, in order of importance, is the adaptive-learning proposition and then its packaging. Adaptive learning gives practitioners a deployable principle: build health-technology engagement around the visible, calibrated improvement of the individual user, and let the clinical purpose ride on the trajectory rather than on verdicts. The adaptive-learning framework makes that principle engineering-actionable — its components can be specified on existing infrastructure, the reference stack and prototype specification translate principles into components, and the applied case studies illustrate hypotheses for other domains. Its empirical status is that of a proposed framework informed by field evidence and learning theory. Before industrial deployment, the framework requires controlled effectiveness testing, implementation-fidelity assessment, safety and disclosure review, usability testing, longitudinal follow-up and cost analysis.</w:t>
      </w:r>
    </w:p>
    <w:p w14:paraId="42551C62" w14:textId="77777777" w:rsidR="0062437E" w:rsidRDefault="00000000">
      <w:pPr>
        <w:pStyle w:val="Heading2"/>
      </w:pPr>
      <w:bookmarkStart w:id="135" w:name="_Toc232024623"/>
      <w:r>
        <w:t>8.4A A Forward-Looking Contribution: The Language-Mode Boundary and Grounded Adaptive Learning</w:t>
      </w:r>
      <w:bookmarkEnd w:id="135"/>
    </w:p>
    <w:p w14:paraId="562EC1A7" w14:textId="77777777" w:rsidR="0062437E" w:rsidRDefault="00000000">
      <w:pPr>
        <w:jc w:val="both"/>
      </w:pPr>
      <w: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This is a limitation of the sensing and control configuration used in the study. It should not be generalised into a claim that all language models are structurally incapable of grounded reasoning or that the thesis has established a boundary of AGI.</w:t>
      </w:r>
    </w:p>
    <w:p w14:paraId="5AC80CA4" w14:textId="77777777" w:rsidR="0062437E" w:rsidRDefault="00000000">
      <w:pPr>
        <w:jc w:val="both"/>
      </w:pPr>
      <w:r>
        <w:t>The thesis therefore proposes an engineering extension: add ethically justified, consented and validated real-time signals; update a person-specific state estimate; and evaluate whether safe, pre-specified interventions improve retry and return without reducing challenge or obscuring important information. The present FRA platform provides a useful testbed because sensing, game states and behavioural outcomes can be aligned in time. Wider claims about artificial general intelligence remain outside the empirical scope of this thesis and are retained only as bounded future-research implications.</w:t>
      </w:r>
    </w:p>
    <w:p w14:paraId="4799DBC6" w14:textId="77777777" w:rsidR="0062437E" w:rsidRDefault="00000000">
      <w:pPr>
        <w:pStyle w:val="Heading2"/>
      </w:pPr>
      <w:bookmarkStart w:id="136" w:name="_Toc232024624"/>
      <w:r>
        <w:lastRenderedPageBreak/>
        <w:t>8.5 Alternative Explanations</w:t>
      </w:r>
      <w:bookmarkEnd w:id="136"/>
    </w:p>
    <w:p w14:paraId="74911FDB" w14:textId="77777777" w:rsidR="0062437E" w:rsidRDefault="00000000">
      <w:pPr>
        <w:jc w:val="both"/>
      </w:pPr>
      <w:r>
        <w:t>The credibility of the frame-sensitive account depends on examining alternatives rather than declaring them ruled out. Seven alternatives are considered below; several remain viable because the present design is between-cohort.</w:t>
      </w:r>
    </w:p>
    <w:p w14:paraId="7E800818" w14:textId="77777777" w:rsidR="0062437E" w:rsidRDefault="00000000">
      <w:pPr>
        <w:pStyle w:val="Heading3"/>
      </w:pPr>
      <w:bookmarkStart w:id="137" w:name="_Toc232024625"/>
      <w:r>
        <w:t>8.5.1 Cohort Self-Selection</w:t>
      </w:r>
      <w:bookmarkEnd w:id="137"/>
    </w:p>
    <w:p w14:paraId="10C3845F" w14:textId="77777777" w:rsidR="0062437E" w:rsidRDefault="00000000">
      <w:pPr>
        <w:jc w:val="both"/>
      </w:pPr>
      <w: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14:paraId="37B9E988" w14:textId="77777777" w:rsidR="0062437E" w:rsidRDefault="00000000">
      <w:pPr>
        <w:pStyle w:val="Heading3"/>
      </w:pPr>
      <w:bookmarkStart w:id="138" w:name="_Toc232024626"/>
      <w:r>
        <w:t>8.5.2 Novelty Effect</w:t>
      </w:r>
      <w:bookmarkEnd w:id="138"/>
    </w:p>
    <w:p w14:paraId="7240E902" w14:textId="77777777" w:rsidR="0062437E" w:rsidRDefault="00000000">
      <w:pPr>
        <w:jc w:val="both"/>
      </w:pPr>
      <w: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14:paraId="3F37F36E" w14:textId="77777777" w:rsidR="0062437E" w:rsidRDefault="00000000">
      <w:pPr>
        <w:pStyle w:val="Heading3"/>
      </w:pPr>
      <w:bookmarkStart w:id="139" w:name="_Toc232024627"/>
      <w:r>
        <w:t>8.5.3 Demand Characteristics and Hawthorne Effect</w:t>
      </w:r>
      <w:bookmarkEnd w:id="139"/>
    </w:p>
    <w:p w14:paraId="6082869F" w14:textId="77777777" w:rsidR="0062437E" w:rsidRDefault="00000000">
      <w:pPr>
        <w:jc w:val="both"/>
      </w:pPr>
      <w: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14:paraId="0A735C6E" w14:textId="77777777" w:rsidR="0062437E" w:rsidRDefault="00000000">
      <w:pPr>
        <w:pStyle w:val="Heading3"/>
      </w:pPr>
      <w:bookmarkStart w:id="140" w:name="_Toc232024628"/>
      <w:r>
        <w:t>8.5.4 Regression to the Mean</w:t>
      </w:r>
      <w:bookmarkEnd w:id="140"/>
    </w:p>
    <w:p w14:paraId="06AD9333" w14:textId="77777777" w:rsidR="0062437E" w:rsidRDefault="00000000">
      <w:pPr>
        <w:jc w:val="both"/>
      </w:pPr>
      <w: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14:paraId="4BF4B796" w14:textId="77777777" w:rsidR="0062437E" w:rsidRDefault="00000000">
      <w:pPr>
        <w:pStyle w:val="Heading3"/>
      </w:pPr>
      <w:bookmarkStart w:id="141" w:name="_Toc232024629"/>
      <w:r>
        <w:lastRenderedPageBreak/>
        <w:t>8.5.5 Physical Fatigue and Motor-Learning Limits</w:t>
      </w:r>
      <w:bookmarkEnd w:id="141"/>
    </w:p>
    <w:p w14:paraId="0633C7D8" w14:textId="77777777" w:rsidR="0062437E" w:rsidRDefault="00000000">
      <w:pPr>
        <w:jc w:val="both"/>
      </w:pPr>
      <w: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14:paraId="0B864E7D" w14:textId="77777777" w:rsidR="0062437E" w:rsidRDefault="00000000">
      <w:pPr>
        <w:pStyle w:val="Heading3"/>
      </w:pPr>
      <w:bookmarkStart w:id="142" w:name="_Toc232024630"/>
      <w:r>
        <w:t>8.5.6 Language and Literacy Confounds</w:t>
      </w:r>
      <w:bookmarkEnd w:id="142"/>
    </w:p>
    <w:p w14:paraId="3A7DBA8C" w14:textId="77777777" w:rsidR="0062437E" w:rsidRDefault="00000000">
      <w:pPr>
        <w:jc w:val="both"/>
      </w:pPr>
      <w: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14:paraId="046A5BFD" w14:textId="77777777" w:rsidR="0062437E" w:rsidRDefault="00000000">
      <w:pPr>
        <w:pStyle w:val="Heading3"/>
      </w:pPr>
      <w:bookmarkStart w:id="143" w:name="_Toc232024631"/>
      <w:r>
        <w:t>8.5.7 Mechanism-Aspecific Just-Better-Design Alternative</w:t>
      </w:r>
      <w:bookmarkEnd w:id="143"/>
    </w:p>
    <w:p w14:paraId="7F57A530" w14:textId="77777777" w:rsidR="0062437E" w:rsidRDefault="00000000">
      <w:pPr>
        <w:jc w:val="both"/>
      </w:pPr>
      <w:r>
        <w:t>Concern: Stage 3 may have produced better outcomes because the overall experience was simply better in ways not captured by the protocol. Response: broad hardware, game mechanic, session structure and support were intended to be similar, but the interface, pre-session procedure, recruitment and setting differed. "Just better design" therefore remains a viable mechanism-aspecific alternative. Detailed implementation-fidelity records and within-cohort randomisation are required.</w:t>
      </w:r>
    </w:p>
    <w:p w14:paraId="6069300D" w14:textId="77777777" w:rsidR="0062437E" w:rsidRDefault="00000000">
      <w:pPr>
        <w:pStyle w:val="Heading2"/>
      </w:pPr>
      <w:bookmarkStart w:id="144" w:name="_Toc232024632"/>
      <w:r>
        <w:t>8.6 Limitations</w:t>
      </w:r>
      <w:bookmarkEnd w:id="144"/>
    </w:p>
    <w:p w14:paraId="3E65481A" w14:textId="77777777" w:rsidR="0062437E" w:rsidRDefault="00000000">
      <w:pPr>
        <w:jc w:val="both"/>
      </w:pPr>
      <w:r>
        <w:t>The principal limitations are as follows. The Stage-2-versus-Stage-3 comparison is between-cycle and between-cohort; the Stage-3 decoupling package contains multiple changes;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14:paraId="4E8BDE11" w14:textId="77777777" w:rsidR="0062437E" w:rsidRDefault="00000000">
      <w:pPr>
        <w:pStyle w:val="Heading2"/>
      </w:pPr>
      <w:bookmarkStart w:id="145" w:name="_Toc232024633"/>
      <w:r>
        <w:lastRenderedPageBreak/>
        <w:t>8.6A A Seventh Limitation: The Language-Mode Boundary of the Layer-2 AI</w:t>
      </w:r>
      <w:bookmarkEnd w:id="145"/>
    </w:p>
    <w:p w14:paraId="66D31D19" w14:textId="77777777" w:rsidR="0062437E" w:rsidRDefault="00000000">
      <w:pPr>
        <w:jc w:val="both"/>
      </w:pPr>
      <w: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14:paraId="4C1029A3" w14:textId="77777777" w:rsidR="0062437E" w:rsidRDefault="00000000">
      <w:pPr>
        <w:jc w:val="both"/>
      </w:pPr>
      <w: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14:paraId="231A3F16" w14:textId="77777777" w:rsidR="0062437E" w:rsidRDefault="00000000">
      <w:pPr>
        <w:jc w:val="both"/>
      </w:pPr>
      <w: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t>8.6B Extending the Unit of Analysis: Abandonment as a Three-Party Decision</w:t>
      </w:r>
    </w:p>
    <w:p>
      <w:r>
        <w:t>The empirical stages treat abandonment as the older user's decision, and that is where the data are. But the field observations invite a richer and more generous reading, offered here as a discussion extension. In the settings studied, three parties stand around the FRA station: the patient, the family, and the physician or care staff — 患者, 家属, 医生 in the Chinese-cultural context of both cohorts — and each can rationally choose to let the technology go from within its own standpoint. The patient protects an identity-level asset: an unfavourable verdict threatens the self-description that still says independent. The family, moved by protectiveness and filial care, may steer a parent away from an experience that visibly distressed them — abandonment as an act of love. The clinician or care team, managing scarce time across many residents, may reasonably stop promoting a station that residents avoid — abandonment as sensible triage. None of these is a failure of understanding; each is a locally reasonable decision.</w:t>
      </w:r>
    </w:p>
    <w:p>
      <w:r>
        <w:t>Actual abandonment, on this reading, is the sum: the technology falls silent when all three parties, for their separately rational reasons, stop bringing the user back to it. This reframing enriches rather than displaces FIAS — the patient's identity-level appraisal remains the seed, but family and clinician responses can amplify it into permanence, which may be part of why Stage-2 exits were so absolute in a residential setting where family and staff were always nearby. It also widens the design opportunity in an encouraging direction: an adaptive-learning experience that gives the patient a visible rising trajectory simultaneously gives the family something hopeful to support and the clinician something efficient to prescribe, aligning all three standpoints around return rather than retreat. The three-party instrumentation — measuring each party's appraisal and their interactions — is a natural and exciting extension for the confirmatory programme (§8.8), and it connects this thesis to the adopter-system domain of the NASSS framework (Greenhalgh et al., 2017), where precisely such multi-actor dynamics are catalogued but not yet mechanised.</w:t>
      </w:r>
    </w:p>
    <w:p w14:paraId="40F305E9" w14:textId="77777777" w:rsidR="0062437E" w:rsidRDefault="00000000">
      <w:pPr>
        <w:pStyle w:val="Heading2"/>
      </w:pPr>
      <w:bookmarkStart w:id="146" w:name="_Toc232024634"/>
      <w:r>
        <w:t>8.7 Ethical Considerations</w:t>
      </w:r>
      <w:bookmarkEnd w:id="146"/>
    </w:p>
    <w:p w14:paraId="46368A18" w14:textId="77777777" w:rsidR="0062437E" w:rsidRDefault="00000000">
      <w:pPr>
        <w:jc w:val="both"/>
      </w:pPr>
      <w:r>
        <w:t>The programme involves a vulnerable population, an embedded researcher, and a frame manipulation — decoupling — that intentionally changes how participants interpret the activity they are engaging with. The ethical framework has five components.</w:t>
      </w:r>
    </w:p>
    <w:p w14:paraId="355C9B61" w14:textId="77777777" w:rsidR="0062437E" w:rsidRDefault="00000000">
      <w:pPr>
        <w:pStyle w:val="Heading3"/>
      </w:pPr>
      <w:bookmarkStart w:id="147" w:name="_Toc232024635"/>
      <w:r>
        <w:t>8.7.1 Vulnerability of Frail Older Adults</w:t>
      </w:r>
      <w:bookmarkEnd w:id="147"/>
    </w:p>
    <w:p w14:paraId="3CC197DA" w14:textId="77777777" w:rsidR="0062437E" w:rsidRDefault="00000000">
      <w:pPr>
        <w:jc w:val="both"/>
      </w:pPr>
      <w: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lastRenderedPageBreak/>
        <w:t>voluntary participation with no consequence for refusal; and difficulty curves calibrated so that even the worst-balance participant could complete an opening session.</w:t>
      </w:r>
    </w:p>
    <w:p w14:paraId="69EB6833" w14:textId="77777777" w:rsidR="0062437E" w:rsidRDefault="00000000">
      <w:pPr>
        <w:pStyle w:val="Heading3"/>
      </w:pPr>
      <w:bookmarkStart w:id="148" w:name="_Toc232024636"/>
      <w:r>
        <w:t>8.7.2 Decoupling and the Deception Question</w:t>
      </w:r>
      <w:bookmarkEnd w:id="148"/>
    </w:p>
    <w:p w14:paraId="07095CD9" w14:textId="77777777" w:rsidR="0062437E" w:rsidRDefault="00000000">
      <w:pPr>
        <w:jc w:val="both"/>
      </w:pPr>
      <w: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14:paraId="0D3BAF07" w14:textId="77777777" w:rsidR="0062437E" w:rsidRDefault="00000000">
      <w:pPr>
        <w:pStyle w:val="Heading3"/>
      </w:pPr>
      <w:bookmarkStart w:id="149" w:name="_Toc232024637"/>
      <w:r>
        <w:t>8.7.3 Autonomy, Dignity and the Right Not to Engage</w:t>
      </w:r>
      <w:bookmarkEnd w:id="149"/>
    </w:p>
    <w:p w14:paraId="45B649E1" w14:textId="77777777" w:rsidR="0062437E" w:rsidRDefault="00000000">
      <w:pPr>
        <w:jc w:val="both"/>
      </w:pPr>
      <w:r>
        <w:t>The intervention is targeted at the gap between the user's stated intent and the user's subsequent behaviour, not at users who have decided that the technology is not for them. Staff training in any the adaptive-learning framework deployment must include explicit guidance not to use coaching to override a clearly stated preference for non-engagement.</w:t>
      </w:r>
    </w:p>
    <w:p w14:paraId="7D3D0843" w14:textId="77777777" w:rsidR="0062437E" w:rsidRDefault="00000000">
      <w:pPr>
        <w:pStyle w:val="Heading3"/>
      </w:pPr>
      <w:bookmarkStart w:id="150" w:name="_Toc232024638"/>
      <w:r>
        <w:t>8.7.4 Equity, Access and Deployment Risks</w:t>
      </w:r>
      <w:bookmarkEnd w:id="150"/>
    </w:p>
    <w:p w14:paraId="2972F624" w14:textId="77777777" w:rsidR="0062437E" w:rsidRDefault="00000000">
      <w:pPr>
        <w:jc w:val="both"/>
      </w:pPr>
      <w: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14:paraId="3A598A09" w14:textId="77777777" w:rsidR="0062437E" w:rsidRDefault="00000000">
      <w:pPr>
        <w:pStyle w:val="Heading3"/>
      </w:pPr>
      <w:bookmarkStart w:id="151" w:name="_Toc232024639"/>
      <w:r>
        <w:t>8.7.5 Embedded Researcher Bias</w:t>
      </w:r>
      <w:bookmarkEnd w:id="151"/>
    </w:p>
    <w:p w14:paraId="181155A3" w14:textId="77777777" w:rsidR="0062437E" w:rsidRDefault="00000000">
      <w:pPr>
        <w:jc w:val="both"/>
      </w:pPr>
      <w: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14:paraId="6C0F03F0" w14:textId="77777777" w:rsidR="0062437E" w:rsidRDefault="00000000">
      <w:pPr>
        <w:pStyle w:val="Heading2"/>
      </w:pPr>
      <w:bookmarkStart w:id="152" w:name="_Toc232024640"/>
      <w:r>
        <w:lastRenderedPageBreak/>
        <w:t>8.8 Future Research</w:t>
      </w:r>
      <w:bookmarkEnd w:id="152"/>
    </w:p>
    <w:p w14:paraId="1716F118" w14:textId="77777777" w:rsidR="0062437E" w:rsidRDefault="00000000">
      <w:pPr>
        <w:jc w:val="both"/>
      </w:pPr>
      <w:r>
        <w:rPr>
          <w:i w:val="0"/>
        </w:rP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 The three-party extension of §8.6B adds its own inviting study: instrument the patient, family and clinician standpoints together, and test whether aligning all three around a visible learning trajectory multiplies the return effect.</w:t>
      </w:r>
    </w:p>
    <w:p w14:paraId="662BF690" w14:textId="77777777" w:rsidR="0062437E" w:rsidRDefault="00000000">
      <w:pPr>
        <w:jc w:val="both"/>
      </w:pPr>
      <w: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14:paraId="3F9EF224" w14:textId="77777777" w:rsidR="0062437E" w:rsidRDefault="00000000">
      <w:pPr>
        <w:jc w:val="both"/>
      </w:pPr>
      <w: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14:paraId="4FBC2445" w14:textId="77777777" w:rsidR="0062437E" w:rsidRDefault="00000000">
      <w:pPr>
        <w:pStyle w:val="Heading2"/>
      </w:pPr>
      <w:bookmarkStart w:id="153" w:name="_Toc232024641"/>
      <w:r>
        <w:t>8.9 Reproducibility and Data Availability</w:t>
      </w:r>
      <w:bookmarkEnd w:id="153"/>
    </w:p>
    <w:p w14:paraId="7FC8590F" w14:textId="77777777" w:rsidR="0062437E" w:rsidRDefault="00000000">
      <w:pPr>
        <w:jc w:val="both"/>
      </w:pPr>
      <w:r>
        <w:t>Because the central methodological contribution includes an artefact, reproducibility requires access to both data and implementation records. The final thesis should identify the de-identified Stage-2 and Stage-3 datasets, a data dictionary, all derived-variable code, the fixed game-state specification, numerical integration parameters, software version, analysis scripts and the exact questionnaire versions. Where data cannot be shared, the access procedure and restrictions should be stated. File names alone are not sufficient unless the files are deposited with the thesis or in a governed repository accessible to examiners. The Stage-3 dataset was collected in full; preliminary aggregate results have been compiled, and the full participant-level analysis is in progress. The archived logbook holds the preliminary aggregates together with a reconciliation harness that checks every participant-level entry against them (Appendix G, item G.3); Chapter 6 rests on the preliminary aggregate record, which the completed analysis will extend.</w:t>
      </w:r>
    </w:p>
    <w:p w14:paraId="440D872A" w14:textId="77777777" w:rsidR="0062437E" w:rsidRDefault="00000000">
      <w:pPr>
        <w:pStyle w:val="AuthorAction"/>
        <w:jc w:val="both"/>
      </w:pPr>
      <w:r>
        <w:rPr>
          <w:i w:val="0"/>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 Third, the appendices bind the verbatim language versions of all instruments, the translation procedure, the complete FIAS codebook with inter-coder reliability, the consent materials and the photographic record . (The deployed endpoint record will be bound here.)</w:t>
      </w:r>
    </w:p>
    <w:p w14:paraId="560733B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54" w:name="_Toc232024642"/>
      <w:r>
        <w:br w:type="page"/>
      </w:r>
    </w:p>
    <w:p w14:paraId="6D56FA8B" w14:textId="77777777" w:rsidR="0062437E" w:rsidRDefault="00000000">
      <w:pPr>
        <w:pStyle w:val="Heading1"/>
        <w:pageBreakBefore/>
      </w:pPr>
      <w:r>
        <w:lastRenderedPageBreak/>
        <w:t>Chapter 9 Conclusion</w:t>
      </w:r>
      <w:bookmarkEnd w:id="154"/>
    </w:p>
    <w:p w14:paraId="3CD6A041" w14:textId="77777777" w:rsidR="0062437E" w:rsidRDefault="00000000">
      <w:pPr>
        <w:pStyle w:val="Heading2"/>
      </w:pPr>
      <w:bookmarkStart w:id="155" w:name="_Toc232024643"/>
      <w:r>
        <w:t>9.1 What This Programme Set Out to Do</w:t>
      </w:r>
      <w:bookmarkEnd w:id="155"/>
    </w:p>
    <w:p w14:paraId="10CEBDE6" w14:textId="77777777" w:rsidR="0062437E" w:rsidRDefault="00000000">
      <w:pPr>
        <w:jc w:val="both"/>
      </w:pPr>
      <w: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 In the architecture of Table 3.1, the programme built a null hypothesis from the best available acceptance and gamification theory, tested it in the field, and followed the rejection to its discoveries.</w:t>
      </w:r>
    </w:p>
    <w:p w14:paraId="6657E3B0" w14:textId="77777777" w:rsidR="0062437E" w:rsidRDefault="00000000">
      <w:pPr>
        <w:jc w:val="both"/>
      </w:pPr>
      <w:r>
        <w:rPr>
          <w:i w:val="0"/>
        </w:rPr>
        <w:t>The programme was conducted as sequential, exploratory action research. The conclusion keeps its three registers — observed results, the inferences that make them intelligible, and the designs they inspire — and it is the clarity of that separation that lets each register be stated with full confidence.</w:t>
      </w:r>
    </w:p>
    <w:p w14:paraId="54C6CD8C" w14:textId="77777777" w:rsidR="0062437E" w:rsidRDefault="00000000">
      <w:pPr>
        <w:pStyle w:val="Heading2"/>
      </w:pPr>
      <w:bookmarkStart w:id="156" w:name="_Toc232024644"/>
      <w:r>
        <w:t>9.2 The Three-Stage Empirical Arc</w:t>
      </w:r>
      <w:bookmarkEnd w:id="156"/>
    </w:p>
    <w:p w14:paraId="69C8624D" w14:textId="77777777" w:rsidR="0062437E" w:rsidRDefault="00000000">
      <w:pPr>
        <w:jc w:val="both"/>
      </w:pPr>
      <w: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14:paraId="47701A22" w14:textId="77777777" w:rsidR="0062437E" w:rsidRDefault="00000000">
      <w:pPr>
        <w:jc w:val="both"/>
      </w:pPr>
      <w: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 These observations constitute the prospective rejection of H0 (§2.3.5, §5.9).</w:t>
      </w:r>
    </w:p>
    <w:p w14:paraId="32A7755A" w14:textId="77777777" w:rsidR="0062437E" w:rsidRDefault="00000000">
      <w:pPr>
        <w:jc w:val="both"/>
      </w:pPr>
      <w:r>
        <w:t>Stage 3 examined a participant-facing decoupling package in a separate Hong Kong community cohort of 120 adults. The same broad pressure-panel and skiing-game structure was retained, while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14:paraId="5D4DBFDB" w14:textId="77777777" w:rsidR="0062437E" w:rsidRDefault="00000000">
      <w:pPr>
        <w:pStyle w:val="Heading2"/>
      </w:pPr>
      <w:r>
        <w:t>9.3 The Central Finding: Evidence Consistent with a Coupling or Framing Effect</w:t>
      </w:r>
    </w:p>
    <w:p w14:paraId="0AC61D50" w14:textId="77777777" w:rsidR="0062437E" w:rsidRDefault="00000000">
      <w:pPr>
        <w:jc w:val="both"/>
      </w:pPr>
      <w: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14:paraId="6D5F36FD" w14:textId="77777777" w:rsidR="0062437E" w:rsidRDefault="00000000">
      <w:pPr>
        <w:jc w:val="both"/>
      </w:pPr>
      <w: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14:paraId="78CD7933" w14:textId="77777777" w:rsidR="0062437E" w:rsidRDefault="00000000">
      <w:pPr>
        <w:jc w:val="both"/>
      </w:pPr>
      <w: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14:paraId="7DAF8BF0" w14:textId="77777777" w:rsidR="0062437E" w:rsidRDefault="00000000">
      <w:pPr>
        <w:jc w:val="both"/>
      </w:pPr>
      <w:r>
        <w:t>FIAS is therefore advanced as a provisional construct describing failure-associated active non-return under identity-relevant conditions, and the central finding is stated as a scope law: gamification theory holds for older adults until the gamified activity is attached to a purpose-based technology whose purpose — health, decline, life-threat — strikes the identity-level value propositions of the user; at that boundary the theory fails, and FIAS names the mechanism of the failure (§6.7). The thesis's principal theoretical contribution is the identification of this coupling boundary and the specification of a mechanism that can be measured in future work. Construct validity, discriminant validity and incremental prediction over STAM remain to be demonstrated.</w:t>
      </w:r>
    </w:p>
    <w:p w14:paraId="5298847A" w14:textId="77777777" w:rsidR="0062437E" w:rsidRDefault="00000000">
      <w:pPr>
        <w:pStyle w:val="Heading2"/>
      </w:pPr>
      <w:bookmarkStart w:id="157" w:name="_Toc232024646"/>
      <w:r>
        <w:t>9.4 Decoupling Preserves the Viability of Game Theory for Elderly Engagement</w:t>
      </w:r>
      <w:bookmarkEnd w:id="157"/>
    </w:p>
    <w:p w14:paraId="401F13C3" w14:textId="77777777" w:rsidR="0062437E" w:rsidRDefault="00000000">
      <w:pPr>
        <w:jc w:val="both"/>
      </w:pPr>
      <w:r>
        <w:t>A second conclusion is that the Stage-3 results rescue gamification theory for elderly engagement. Stage 3 functioned as the programme's positive control (§6.1): the same apparatus and mechanics, decoupled from the clinical attachment, were accepted by the elderly cohort at levels the gamification literature predicts — which means the theory stack of Chapter 2, including the An–Cheung demonstration, transfers to this population after all. The findings do not imply that game design theory fails in clinical settings; they locate the failure precisely at the participant-facing relationship between gameplay, assessment language and clinical interpretation. Gamification mechanics should be evaluated together with the frame in which success and failure are understood.</w:t>
      </w:r>
    </w:p>
    <w:p w14:paraId="0345F8B5" w14:textId="77777777" w:rsidR="0062437E" w:rsidRDefault="00000000">
      <w:pPr>
        <w:jc w:val="both"/>
      </w:pPr>
      <w: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14:paraId="2E62FB91" w14:textId="77777777" w:rsidR="0062437E" w:rsidRDefault="00000000">
      <w:pPr>
        <w:jc w:val="both"/>
      </w:pPr>
      <w: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14:paraId="2659ABEB" w14:textId="77777777" w:rsidR="0062437E" w:rsidRDefault="00000000">
      <w:pPr>
        <w:pStyle w:val="Heading2"/>
      </w:pPr>
      <w:bookmarkStart w:id="158" w:name="_Toc232024647"/>
      <w:r>
        <w:t>9.5 Adaptive Learning as the Design Counter</w:t>
      </w:r>
      <w:bookmarkEnd w:id="158"/>
    </w:p>
    <w:p w14:paraId="5925105D" w14:textId="77777777" w:rsidR="0062437E" w:rsidRDefault="00000000">
      <w:pPr>
        <w:jc w:val="both"/>
      </w:pPr>
      <w:r>
        <w:t>Decoupling did not answer every engagement question. In the 65-80 group, observed session retention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14:paraId="7DF1B040" w14:textId="77777777" w:rsidR="0062437E" w:rsidRDefault="00000000">
      <w:pPr>
        <w:jc w:val="both"/>
      </w:pPr>
      <w:r>
        <w:t>Adaptive learning is advanced as the programme's principal design discovery (§6.8; Chapter 7): a regime in which the activity visibly improves the person, session by session, so that a rising personal trajectory — continuous improvement at the level of the individual user — becomes the reason to return, and eventually the frame within which the clinical purpose can be safely re-attached. It can present performance as a trajectory, specify the next achievable step and calibrate challenge, feedback and pacing. The adaptive-learning framework formalises the discovery into three components: identity disentanglement, trajectory installation and adaptive calibration. The framework is not yet empirically validated as a package, the Stage-3 result should not be treated as a test of adaptive learning, and its incremental effect must be evaluated prospectively against decoupling alone and against alternative supports.</w:t>
      </w:r>
    </w:p>
    <w:p w14:paraId="3C0379BE" w14:textId="77777777" w:rsidR="0062437E" w:rsidRDefault="00000000">
      <w:pPr>
        <w:pStyle w:val="Heading2"/>
      </w:pPr>
      <w:r>
        <w:t>9.6 Competing Appraisal Regimes: Endowment Protection and Learning Trajectory</w:t>
      </w:r>
    </w:p>
    <w:p w14:paraId="6C62367A" w14:textId="77777777" w:rsidR="0062437E" w:rsidRDefault="00000000">
      <w:pPr>
        <w:jc w:val="both"/>
      </w:pPr>
      <w:r>
        <w:t>The relationship between identity protection and learning trajectory is a theoretical proposition, not an empirical demonstration of mutual exclusion.</w:t>
      </w:r>
    </w:p>
    <w:p w14:paraId="0ED0D8F7" w14:textId="77777777" w:rsidR="0062437E" w:rsidRDefault="00000000">
      <w:pPr>
        <w:jc w:val="both"/>
      </w:pPr>
      <w: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14:paraId="7D202BC2" w14:textId="77777777" w:rsidR="0062437E" w:rsidRDefault="00000000">
      <w:pPr>
        <w:jc w:val="both"/>
      </w:pPr>
      <w: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14:paraId="563B9BE0" w14:textId="77777777" w:rsidR="0062437E" w:rsidRDefault="00000000">
      <w:pPr>
        <w:jc w:val="both"/>
      </w:pPr>
      <w: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14:paraId="47D7B784" w14:textId="77777777" w:rsidR="0062437E" w:rsidRDefault="00000000">
      <w:pPr>
        <w:pStyle w:val="Heading2"/>
      </w:pPr>
      <w:bookmarkStart w:id="159" w:name="_Toc232024649"/>
      <w:r>
        <w:t>9.7 Theoretical Contributions</w:t>
      </w:r>
      <w:bookmarkEnd w:id="159"/>
    </w:p>
    <w:p w14:paraId="39A8264F" w14:textId="77777777" w:rsidR="0062437E" w:rsidRDefault="00000000">
      <w:pPr>
        <w:jc w:val="both"/>
      </w:pPr>
      <w:r>
        <w:rPr>
          <w:i w:val="0"/>
        </w:rPr>
        <w:t>The thesis offers four theoretical contributions, in the hierarchy of §8.1. First, FIAS: a provisional, non-diagnostic construct naming the post-contact problem the acceptance models miss, with the behavioural-economics account that structures it (Table 2.1). Second, the coupling boundary condition of gamification theory: where the theory holds for older adults, where it fails, and why. Third, adaptive learning as the design discovery — the behavioural-change driver that converts the boundary's lesson into a buildable response. Fourth, the competing-appraisal formulation (endowment protection versus learning trajectory) and its translation into the falsifiable the adaptive-learning framework packaging. The mechanisms' direct verification, the appraisals' interplay, and adaptive learning's isolated effect are the questions this thesis hands, well-formed and pre-specified, to the studies it proposes.</w:t>
      </w:r>
    </w:p>
    <w:p w14:paraId="02D278FF" w14:textId="77777777" w:rsidR="0062437E" w:rsidRDefault="00000000">
      <w:pPr>
        <w:pStyle w:val="Heading2"/>
      </w:pPr>
      <w:bookmarkStart w:id="160" w:name="_Toc232024650"/>
      <w:r>
        <w:t>9.8 Practical Contributions for Industry and Practice</w:t>
      </w:r>
      <w:bookmarkEnd w:id="160"/>
    </w:p>
    <w:p w14:paraId="5F788F60" w14:textId="77777777" w:rsidR="0062437E" w:rsidRDefault="00000000">
      <w:pPr>
        <w:jc w:val="both"/>
      </w:pPr>
      <w:r>
        <w:t>The practical contribution is, first, a deployable principle — build elderly health-technology engagement around adaptive learning, the visible continuous improvement of the individual user — and second, its specification. The adaptive-learning framework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14:paraId="2F212D52" w14:textId="77777777" w:rsidR="0062437E" w:rsidRDefault="00000000">
      <w:pPr>
        <w:jc w:val="both"/>
      </w:pPr>
      <w: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14:paraId="26D46C4C" w14:textId="77777777" w:rsidR="0062437E" w:rsidRDefault="00000000">
      <w:pPr>
        <w:jc w:val="both"/>
      </w:pPr>
      <w: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14:paraId="3E4B5A5B" w14:textId="77777777" w:rsidR="0062437E" w:rsidRDefault="00000000">
      <w:pPr>
        <w:pStyle w:val="Heading2"/>
      </w:pPr>
      <w:bookmarkStart w:id="161" w:name="_Toc232024651"/>
      <w:r>
        <w:t>9.8A A Secondary Contribution to Gamification: Agentic-AI-Driven Dynamic Game States</w:t>
      </w:r>
      <w:bookmarkEnd w:id="161"/>
    </w:p>
    <w:p w14:paraId="6BD6181E" w14:textId="77777777" w:rsidR="0062437E" w:rsidRDefault="00000000">
      <w:pPr>
        <w:jc w:val="both"/>
      </w:pPr>
      <w: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lastRenderedPageBreak/>
        <w:t>evaluated in the empirical programme, so it should be presented as a prototype specification and testable extension rather than as an established "loss-free" mechanic.</w:t>
      </w:r>
    </w:p>
    <w:p w14:paraId="0F68268B" w14:textId="77777777" w:rsidR="0062437E" w:rsidRDefault="00000000">
      <w:pPr>
        <w:jc w:val="both"/>
      </w:pPr>
      <w:r>
        <w:t>The workflow documents how a behavioural and safety specification was translated into candidate state logic, synthetic tests and auditable runtime rules; the AI tooling that accelerated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14:paraId="299B6EB3" w14:textId="77777777" w:rsidR="0062437E" w:rsidRDefault="00000000">
      <w:pPr>
        <w:pStyle w:val="Heading2"/>
      </w:pPr>
      <w:r>
        <w:t>9.8B Future Research Proposition: From Telemetry-Conditioned to Person-Conditioned Adaptation</w:t>
      </w:r>
    </w:p>
    <w:p w14:paraId="4AF29873" w14:textId="77777777" w:rsidR="0062437E" w:rsidRDefault="00000000">
      <w:pPr>
        <w:jc w:val="both"/>
      </w:pPr>
      <w: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14:paraId="57CF624C" w14:textId="77777777" w:rsidR="0062437E" w:rsidRDefault="00000000">
      <w:pPr>
        <w:jc w:val="both"/>
      </w:pPr>
      <w: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14:paraId="49FAD460" w14:textId="77777777" w:rsidR="0062437E" w:rsidRDefault="00000000">
      <w:pPr>
        <w:jc w:val="both"/>
      </w:pPr>
      <w: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14:paraId="36B24DC1" w14:textId="77777777" w:rsidR="0062437E" w:rsidRDefault="00000000">
      <w:pPr>
        <w:jc w:val="both"/>
      </w:pPr>
      <w: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lastRenderedPageBreak/>
        <w:t>Whether lessons from this setting generalise to broader theories of intelligence is outside the empirical scope of the thesis.</w:t>
      </w:r>
    </w:p>
    <w:p w14:paraId="715DA7A6" w14:textId="77777777" w:rsidR="0062437E" w:rsidRDefault="00000000">
      <w:pPr>
        <w:jc w:val="both"/>
      </w:pPr>
      <w:r>
        <w:t>This extension also clarifies the adaptive-learning framework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14:paraId="30F57089" w14:textId="77777777" w:rsidR="0062437E" w:rsidRDefault="00000000">
      <w:pPr>
        <w:pStyle w:val="Heading2"/>
      </w:pPr>
      <w:r>
        <w:t>9.8C Bounded Implications for AI Evaluation</w:t>
      </w:r>
    </w:p>
    <w:p w14:paraId="52EAFA88" w14:textId="77777777" w:rsidR="0062437E" w:rsidRDefault="00000000">
      <w:pPr>
        <w:jc w:val="both"/>
      </w:pPr>
      <w: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14:paraId="1B9A072E" w14:textId="77777777" w:rsidR="0062437E" w:rsidRDefault="00000000">
      <w:pPr>
        <w:pStyle w:val="Heading3"/>
      </w:pPr>
      <w:r>
        <w:t>From Language-Rendered Telemetry to Grounded Sensing</w:t>
      </w:r>
    </w:p>
    <w:p w14:paraId="7F122608" w14:textId="77777777" w:rsidR="0062437E" w:rsidRDefault="00000000">
      <w:pPr>
        <w:jc w:val="both"/>
      </w:pPr>
      <w:r>
        <w:t>The deployed configuration processed game and pressure-panel information, some of which was rendered into language. Its limitation was practical: the available inputs did not include direct measures of the participant's immediate appraisal or affect. Additional sensing may reduce that information gap, but language and perception are complementary channels in a system architecture rather than mutually exclusive worlds.</w:t>
      </w:r>
    </w:p>
    <w:p w14:paraId="7649F531" w14:textId="77777777" w:rsidR="0062437E" w:rsidRDefault="00000000">
      <w:pPr>
        <w:jc w:val="both"/>
      </w:pPr>
      <w:r>
        <w:t>The symbol-grounding and tacit-knowledge literatures (Harnad, 1990; Polanyi, 1966; Nonaka &amp; Takeuchi, 1995) help explain why direct interaction data can add information not present in a delayed written summary. They do not imply that language models can never participate in grounded systems. The relevant design question is which inputs, representations and feedback loops are necessary for reliable performance in this specific environment.</w:t>
      </w:r>
    </w:p>
    <w:p w14:paraId="0E505569" w14:textId="77777777" w:rsidR="0062437E" w:rsidRDefault="00000000">
      <w:pPr>
        <w:jc w:val="both"/>
      </w:pPr>
      <w:r>
        <w:t>Research on the relation between language, thought and grounded reasoning (Bender &amp; Koller, 2020; Mahowald et al., 2024) motivates multimodal evaluation, but it should not be used here to infer a universal boundary from one FRA implementation. The thesis therefore confines its claim to the deployed system and the proposed extension.</w:t>
      </w:r>
    </w:p>
    <w:p w14:paraId="3AE95351" w14:textId="77777777" w:rsidR="0062437E" w:rsidRDefault="00000000">
      <w:pPr>
        <w:pStyle w:val="Heading3"/>
      </w:pPr>
      <w:r>
        <w:lastRenderedPageBreak/>
        <w:t>Perception-Action Loops as an Engineering Extension</w:t>
      </w:r>
    </w:p>
    <w:p w14:paraId="242E30C8" w14:textId="77777777" w:rsidR="0062437E" w:rsidRDefault="00000000">
      <w:pPr>
        <w:jc w:val="both"/>
      </w:pPr>
      <w:r>
        <w:t>A closed-loop adaptive system senses aspects of the environment, estimates state, selects an action and learns from the resulting outcome — a pattern with deep roots in ecological perception, behaviour-based robotics and predictive accounts of cognition (Gibson, 1979; Brooks, 1991; Friston, 2010). In the proposed FRA extension, the environment includes the participant, the pressure-panel interaction and the game. The value of the loop must be judged empirically by safety, prediction, user experience and sustained voluntary engagement, not by conceptual similarity to biological cognition alone.</w:t>
      </w:r>
    </w:p>
    <w:p w14:paraId="1B1220C8" w14:textId="77777777" w:rsidR="0062437E" w:rsidRDefault="00000000">
      <w:pPr>
        <w:pStyle w:val="Heading3"/>
      </w:pPr>
      <w:r>
        <w:t>Adaptive Learning as a Testable System Hypothesis</w:t>
      </w:r>
    </w:p>
    <w:p w14:paraId="21804E02" w14:textId="77777777" w:rsidR="0062437E" w:rsidRDefault="00000000">
      <w:pPr>
        <w:jc w:val="both"/>
      </w:pPr>
      <w:r>
        <w:t>Adaptive learning in this thesis means calibrated challenge, trajectory-oriented feedback and iterative updating from observed outcomes. Related traditions include reinforcement learning (Sutton &amp; Barto, 2018), world models (Ha &amp; Schmidhuber, 2018; LeCun, 2022), intelligent tutoring (VanLehn, 2011) and language models grounded in embodied action (Ahn et al., 2022; Driess et al., 2023). These literatures provide design resources, but the present thesis does not implement or compare all of them. The proposed FRA platform is a small testbed for studying person-conditioned adaptation, not a demonstration of general machine intelligence.</w:t>
      </w:r>
    </w:p>
    <w:p w14:paraId="523D62CA" w14:textId="77777777" w:rsidR="0062437E" w:rsidRDefault="00000000">
      <w:pPr>
        <w:pStyle w:val="TableCaption"/>
        <w:jc w:val="center"/>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14:paraId="1803C4D7" w14:textId="77777777" w:rsidR="0062437E" w:rsidRDefault="00000000">
            <w:r>
              <w:rPr>
                <w:b/>
                <w:sz w:val="20"/>
              </w:rPr>
              <w:t>Dimension</w:t>
            </w:r>
          </w:p>
        </w:tc>
        <w:tc>
          <w:tcPr>
            <w:tcW w:w="2976" w:type="dxa"/>
          </w:tcPr>
          <w:p w14:paraId="63A31D55" w14:textId="77777777" w:rsidR="00EE7E37" w:rsidRDefault="00000000">
            <w:r>
              <w:t>Deployed Stage-2 adaptation configuration</w:t>
            </w:r>
          </w:p>
        </w:tc>
        <w:tc>
          <w:tcPr>
            <w:tcW w:w="3969" w:type="dxa"/>
          </w:tcPr>
          <w:p w14:paraId="03A92CAF" w14:textId="77777777" w:rsidR="00EE7E37" w:rsidRDefault="00000000">
            <w:r>
              <w:t>Proposed person-conditioned extension</w:t>
            </w:r>
          </w:p>
        </w:tc>
      </w:tr>
      <w:tr w:rsidR="0062437E" w14:paraId="2864A92A" w14:textId="77777777" w:rsidTr="00FD5D21">
        <w:trPr>
          <w:jc w:val="center"/>
        </w:trPr>
        <w:tc>
          <w:tcPr>
            <w:tcW w:w="1560" w:type="dxa"/>
          </w:tcPr>
          <w:p w14:paraId="59E6DB6D" w14:textId="77777777" w:rsidR="0062437E" w:rsidRDefault="00000000">
            <w:r>
              <w:rPr>
                <w:sz w:val="20"/>
              </w:rPr>
              <w:t>World available to the system</w:t>
            </w:r>
          </w:p>
        </w:tc>
        <w:tc>
          <w:tcPr>
            <w:tcW w:w="2976" w:type="dxa"/>
          </w:tcPr>
          <w:p w14:paraId="087CCD47" w14:textId="77777777" w:rsidR="00EE7E37" w:rsidRDefault="00000000">
            <w:r>
              <w:t>Pressure-panel and game telemetry, partly rendered into language for model processing</w:t>
            </w:r>
          </w:p>
        </w:tc>
        <w:tc>
          <w:tcPr>
            <w:tcW w:w="3969" w:type="dxa"/>
          </w:tcPr>
          <w:p w14:paraId="36DBC6C1" w14:textId="77777777" w:rsidR="00EE7E37" w:rsidRDefault="00000000">
            <w:r>
              <w:t>Telemetry plus ethically justified, validated behavioural or experiential inputs</w:t>
            </w:r>
          </w:p>
        </w:tc>
      </w:tr>
      <w:tr w:rsidR="0062437E" w14:paraId="3CF93FC4" w14:textId="77777777" w:rsidTr="00FD5D21">
        <w:trPr>
          <w:jc w:val="center"/>
        </w:trPr>
        <w:tc>
          <w:tcPr>
            <w:tcW w:w="1560" w:type="dxa"/>
          </w:tcPr>
          <w:p w14:paraId="38BA7BF0" w14:textId="77777777" w:rsidR="0062437E" w:rsidRDefault="00000000">
            <w:r>
              <w:rPr>
                <w:sz w:val="20"/>
              </w:rPr>
              <w:t>Input at run time</w:t>
            </w:r>
          </w:p>
        </w:tc>
        <w:tc>
          <w:tcPr>
            <w:tcW w:w="2976" w:type="dxa"/>
          </w:tcPr>
          <w:p w14:paraId="65316B32" w14:textId="77777777" w:rsidR="0062437E" w:rsidRDefault="00000000">
            <w:r>
              <w:rPr>
                <w:sz w:val="20"/>
              </w:rPr>
              <w:t>Telemetry rendered into a natural-language summary string</w:t>
            </w:r>
          </w:p>
        </w:tc>
        <w:tc>
          <w:tcPr>
            <w:tcW w:w="3969" w:type="dxa"/>
          </w:tcPr>
          <w:p w14:paraId="33EA422B" w14:textId="77777777" w:rsidR="0062437E" w:rsidRDefault="00000000">
            <w:r>
              <w:rPr>
                <w:sz w:val="20"/>
              </w:rPr>
              <w:t>Instant physical and behavioural signals, plus telemetry, captured as they occur</w:t>
            </w:r>
          </w:p>
        </w:tc>
      </w:tr>
      <w:tr w:rsidR="0062437E" w14:paraId="34C88DFE" w14:textId="77777777" w:rsidTr="00FD5D21">
        <w:trPr>
          <w:jc w:val="center"/>
        </w:trPr>
        <w:tc>
          <w:tcPr>
            <w:tcW w:w="1560" w:type="dxa"/>
          </w:tcPr>
          <w:p w14:paraId="41101B5E" w14:textId="77777777" w:rsidR="0062437E" w:rsidRDefault="00000000">
            <w:r>
              <w:rPr>
                <w:sz w:val="20"/>
              </w:rPr>
              <w:t>Timescale</w:t>
            </w:r>
          </w:p>
        </w:tc>
        <w:tc>
          <w:tcPr>
            <w:tcW w:w="2976" w:type="dxa"/>
          </w:tcPr>
          <w:p w14:paraId="21F6C4D6" w14:textId="77777777" w:rsidR="0062437E" w:rsidRDefault="00000000">
            <w:r>
              <w:rPr>
                <w:sz w:val="20"/>
              </w:rPr>
              <w:t>Scheduled: five-minute adjustment cycle</w:t>
            </w:r>
          </w:p>
        </w:tc>
        <w:tc>
          <w:tcPr>
            <w:tcW w:w="3969" w:type="dxa"/>
          </w:tcPr>
          <w:p w14:paraId="12E9F77F" w14:textId="77777777" w:rsidR="0062437E" w:rsidRDefault="00000000">
            <w:r>
              <w:rPr>
                <w:sz w:val="20"/>
              </w:rPr>
              <w:t>Continuous: perception at one-second cadence; action within seconds of the event</w:t>
            </w:r>
          </w:p>
        </w:tc>
      </w:tr>
      <w:tr w:rsidR="0062437E" w14:paraId="4DDCCB00" w14:textId="77777777" w:rsidTr="00FD5D21">
        <w:trPr>
          <w:jc w:val="center"/>
        </w:trPr>
        <w:tc>
          <w:tcPr>
            <w:tcW w:w="1560" w:type="dxa"/>
          </w:tcPr>
          <w:p w14:paraId="0CFC0E5C" w14:textId="77777777" w:rsidR="0062437E" w:rsidRDefault="00000000">
            <w:r>
              <w:rPr>
                <w:sz w:val="20"/>
              </w:rPr>
              <w:t>Object of learning</w:t>
            </w:r>
          </w:p>
        </w:tc>
        <w:tc>
          <w:tcPr>
            <w:tcW w:w="2976" w:type="dxa"/>
          </w:tcPr>
          <w:p w14:paraId="3CBFA508" w14:textId="77777777" w:rsidR="00EE7E37" w:rsidRDefault="00000000">
            <w:r>
              <w:t>General model parameters plus session-level telemetry</w:t>
            </w:r>
          </w:p>
        </w:tc>
        <w:tc>
          <w:tcPr>
            <w:tcW w:w="3969" w:type="dxa"/>
          </w:tcPr>
          <w:p w14:paraId="1F2AF3EF" w14:textId="77777777" w:rsidR="00EE7E37" w:rsidRDefault="00000000">
            <w:r>
              <w:t>A person-specific state estimate updated during interaction</w:t>
            </w:r>
          </w:p>
        </w:tc>
      </w:tr>
      <w:tr w:rsidR="0062437E" w14:paraId="34FEE616" w14:textId="77777777" w:rsidTr="00FD5D21">
        <w:trPr>
          <w:jc w:val="center"/>
        </w:trPr>
        <w:tc>
          <w:tcPr>
            <w:tcW w:w="1560" w:type="dxa"/>
          </w:tcPr>
          <w:p w14:paraId="2A649B2A" w14:textId="77777777" w:rsidR="0062437E" w:rsidRDefault="00000000">
            <w:r>
              <w:rPr>
                <w:sz w:val="20"/>
              </w:rPr>
              <w:t>Output</w:t>
            </w:r>
          </w:p>
        </w:tc>
        <w:tc>
          <w:tcPr>
            <w:tcW w:w="2976" w:type="dxa"/>
          </w:tcPr>
          <w:p w14:paraId="70A15DC4" w14:textId="77777777" w:rsidR="0062437E" w:rsidRDefault="00000000">
            <w:r>
              <w:rPr>
                <w:sz w:val="20"/>
              </w:rPr>
              <w:t>A text recommendation: difficulty level plus written rationale</w:t>
            </w:r>
          </w:p>
        </w:tc>
        <w:tc>
          <w:tcPr>
            <w:tcW w:w="3969" w:type="dxa"/>
          </w:tcPr>
          <w:p w14:paraId="79971B4A" w14:textId="77777777" w:rsidR="0062437E" w:rsidRDefault="00000000">
            <w:r>
              <w:rPr>
                <w:sz w:val="20"/>
              </w:rPr>
              <w:t>An action in the environment: selection of the next game state</w:t>
            </w:r>
          </w:p>
        </w:tc>
      </w:tr>
      <w:tr w:rsidR="0062437E" w14:paraId="540D50DC" w14:textId="77777777" w:rsidTr="00FD5D21">
        <w:trPr>
          <w:jc w:val="center"/>
        </w:trPr>
        <w:tc>
          <w:tcPr>
            <w:tcW w:w="1560" w:type="dxa"/>
          </w:tcPr>
          <w:p w14:paraId="31CDABBD" w14:textId="77777777" w:rsidR="0062437E" w:rsidRDefault="00000000">
            <w:r>
              <w:rPr>
                <w:sz w:val="20"/>
              </w:rPr>
              <w:lastRenderedPageBreak/>
              <w:t>Feedback channel</w:t>
            </w:r>
          </w:p>
        </w:tc>
        <w:tc>
          <w:tcPr>
            <w:tcW w:w="2976" w:type="dxa"/>
          </w:tcPr>
          <w:p w14:paraId="3A425205" w14:textId="77777777" w:rsidR="00EE7E37" w:rsidRDefault="00000000">
            <w:r>
              <w:t>Delayed and scheduled feedback from session records</w:t>
            </w:r>
          </w:p>
        </w:tc>
        <w:tc>
          <w:tcPr>
            <w:tcW w:w="3969" w:type="dxa"/>
          </w:tcPr>
          <w:p w14:paraId="1D5153EC" w14:textId="77777777" w:rsidR="00EE7E37" w:rsidRDefault="00000000">
            <w:r>
              <w:t>Closed-loop behavioural and experiential outcomes with safety constraints</w:t>
            </w:r>
          </w:p>
        </w:tc>
      </w:tr>
      <w:tr w:rsidR="0062437E" w14:paraId="4731B52F" w14:textId="77777777" w:rsidTr="00FD5D21">
        <w:trPr>
          <w:jc w:val="center"/>
        </w:trPr>
        <w:tc>
          <w:tcPr>
            <w:tcW w:w="1560" w:type="dxa"/>
          </w:tcPr>
          <w:p w14:paraId="1DE3F6BE" w14:textId="77777777" w:rsidR="0062437E" w:rsidRDefault="00000000">
            <w:r>
              <w:rPr>
                <w:sz w:val="20"/>
              </w:rPr>
              <w:t>Visibility of the failure moment</w:t>
            </w:r>
          </w:p>
        </w:tc>
        <w:tc>
          <w:tcPr>
            <w:tcW w:w="2976" w:type="dxa"/>
          </w:tcPr>
          <w:p w14:paraId="4D7DA34D" w14:textId="77777777" w:rsidR="00EE7E37" w:rsidRDefault="00000000">
            <w:r>
              <w:t>Does not directly measure participant appraisal or affect at the event</w:t>
            </w:r>
          </w:p>
        </w:tc>
        <w:tc>
          <w:tcPr>
            <w:tcW w:w="3969" w:type="dxa"/>
          </w:tcPr>
          <w:p w14:paraId="67EE975D" w14:textId="77777777" w:rsidR="00EE7E37" w:rsidRDefault="00000000">
            <w:r>
              <w:t>Tests whether additional signals improve prediction and safe intervention</w:t>
            </w:r>
          </w:p>
        </w:tc>
      </w:tr>
      <w:tr w:rsidR="0062437E" w14:paraId="55F201DF" w14:textId="77777777" w:rsidTr="00FD5D21">
        <w:trPr>
          <w:jc w:val="center"/>
        </w:trPr>
        <w:tc>
          <w:tcPr>
            <w:tcW w:w="1560" w:type="dxa"/>
          </w:tcPr>
          <w:p w14:paraId="5900A337" w14:textId="77777777" w:rsidR="0062437E" w:rsidRDefault="00000000">
            <w:r>
              <w:rPr>
                <w:sz w:val="20"/>
              </w:rPr>
              <w:t>Theoretical anchors</w:t>
            </w:r>
          </w:p>
        </w:tc>
        <w:tc>
          <w:tcPr>
            <w:tcW w:w="2976" w:type="dxa"/>
          </w:tcPr>
          <w:p w14:paraId="08825857" w14:textId="77777777" w:rsidR="00EE7E37" w:rsidRDefault="00000000">
            <w:r>
              <w:t>Human-computer interaction, intelligent tutoring and model-assisted control</w:t>
            </w:r>
          </w:p>
        </w:tc>
        <w:tc>
          <w:tcPr>
            <w:tcW w:w="3969" w:type="dxa"/>
          </w:tcPr>
          <w:p w14:paraId="0B83AF8A" w14:textId="77777777" w:rsidR="00EE7E37" w:rsidRDefault="00000000">
            <w:r>
              <w:t>Multimodal interaction, affective computing, adaptive control and person-centred design</w:t>
            </w:r>
          </w:p>
        </w:tc>
      </w:tr>
      <w:tr w:rsidR="0062437E" w14:paraId="3AFCAE5F" w14:textId="77777777" w:rsidTr="00FD5D21">
        <w:trPr>
          <w:jc w:val="center"/>
        </w:trPr>
        <w:tc>
          <w:tcPr>
            <w:tcW w:w="1560" w:type="dxa"/>
          </w:tcPr>
          <w:p w14:paraId="403E9F74" w14:textId="77777777" w:rsidR="0062437E" w:rsidRDefault="00000000">
            <w:r>
              <w:rPr>
                <w:sz w:val="20"/>
              </w:rPr>
              <w:t>Evaluation criterion</w:t>
            </w:r>
          </w:p>
        </w:tc>
        <w:tc>
          <w:tcPr>
            <w:tcW w:w="2976" w:type="dxa"/>
          </w:tcPr>
          <w:p w14:paraId="3D77FE02" w14:textId="77777777" w:rsidR="00EE7E37" w:rsidRDefault="00000000">
            <w:r>
              <w:t>Accuracy of recommendations, game telemetry and session outcomes</w:t>
            </w:r>
          </w:p>
        </w:tc>
        <w:tc>
          <w:tcPr>
            <w:tcW w:w="3969" w:type="dxa"/>
          </w:tcPr>
          <w:p w14:paraId="3F585689" w14:textId="77777777" w:rsidR="00EE7E37" w:rsidRDefault="00000000">
            <w:r>
              <w:t>Incremental prediction, retry, return, comprehension, autonomy, burden and safety</w:t>
            </w:r>
          </w:p>
        </w:tc>
      </w:tr>
    </w:tbl>
    <w:p w14:paraId="0ABA3BDF" w14:textId="77777777" w:rsidR="0062437E" w:rsidRDefault="0062437E">
      <w:pPr>
        <w:spacing w:after="40"/>
      </w:pPr>
    </w:p>
    <w:p w14:paraId="259786D2" w14:textId="77777777" w:rsidR="0062437E" w:rsidRDefault="00000000">
      <w:pPr>
        <w:keepNext/>
        <w:spacing w:before="160" w:after="40"/>
        <w:jc w:val="center"/>
      </w:pPr>
      <w:r>
        <w:drawing>
          <wp:inline xmlns:a="http://schemas.openxmlformats.org/drawingml/2006/main" xmlns:pic="http://schemas.openxmlformats.org/drawingml/2006/pictur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14:paraId="411BF198" w14:textId="77777777" w:rsidR="0062437E" w:rsidRDefault="00000000">
      <w:pPr>
        <w:pStyle w:val="FigureCaption"/>
        <w:jc w:val="cente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14:paraId="68101CBF" w14:textId="77777777" w:rsidR="0062437E" w:rsidRDefault="00000000">
      <w:pPr>
        <w:pStyle w:val="Heading3"/>
      </w:pPr>
      <w:r>
        <w:lastRenderedPageBreak/>
        <w:t>Implications for Broader AI Research</w:t>
      </w:r>
    </w:p>
    <w:p w14:paraId="4D2BC4FF" w14:textId="77777777" w:rsidR="0062437E" w:rsidRDefault="00000000">
      <w:pPr>
        <w:jc w:val="both"/>
      </w:pPr>
      <w:r>
        <w:t>Broader AI research increasingly evaluates systems in interactive and multimodal environments, and prominent research agendas argue that machines that learn and act in the world, rather than only about it, are the field's next frontier (Lake et al., 2017; Li, 2025). The present thesis contributes a narrow human-centred case: a system should be evaluated on whether its actions improve clearly defined outcomes for the person and environment with which it interacts. This does not establish that scaling language models cannot contribute to general intelligence, nor does it resolve competing definitions of AGI (Legg &amp; Hutter, 2007; Goertzel, 2014; Chollet, 2019).</w:t>
      </w:r>
    </w:p>
    <w:p w14:paraId="23313CE9" w14:textId="77777777" w:rsidR="0062437E" w:rsidRDefault="00000000">
      <w:pPr>
        <w:jc w:val="both"/>
      </w:pPr>
      <w:r>
        <w:t>The Stage-2 system did not directly sense the participant's immediate interpretation of failure. That observation identifies a missing input channel in one deployment. It does not demonstrate that no amount of language data could address the problem, because the relevant comparison - telemetry-only versus multimodal person-conditioned adaptation - has not yet been conducted. The correct next step is empirical comparison, not a categorical conclusion.</w:t>
      </w:r>
    </w:p>
    <w:p w14:paraId="32FA7B0E" w14:textId="77777777" w:rsidR="0062437E" w:rsidRDefault="00000000">
      <w:pPr>
        <w:pStyle w:val="Heading3"/>
      </w:pPr>
      <w:r>
        <w:t>Proposed Evaluation Criteria for Human-Adaptive Systems</w:t>
      </w:r>
    </w:p>
    <w:p w14:paraId="4E4F9BB5" w14:textId="77777777" w:rsidR="0062437E" w:rsidRDefault="00000000">
      <w:pPr>
        <w:jc w:val="both"/>
      </w:pPr>
      <w:r>
        <w:t>Future evaluation can use four complementary criteria: performance in a closed, responsive environment; behavioural and experiential outcomes rather than text quality alone; adaptation curves over repeated interaction; and environment-supplied feedback combined with human-centred safety and autonomy measures. These criteria are relevant to adaptive health technologies even if no claim about AGI is made.</w:t>
      </w:r>
    </w:p>
    <w:p w14:paraId="5F153D81" w14:textId="77777777" w:rsidR="0062437E" w:rsidRDefault="00000000">
      <w:pPr>
        <w:jc w:val="both"/>
      </w:pPr>
      <w:r>
        <w:t>For the FRA platform, the operational outcomes are concrete: immediate retry after difficulty, return within a fixed window, repeated voluntary use, perceived competence, fatigue, comprehension, burden, safety and appropriate clinical follow-up. A proposed adaptive system should outperform simpler rules and decoupling alone on these outcomes without concealing risk or coercing continued use.</w:t>
      </w:r>
    </w:p>
    <w:p w14:paraId="4CE55408" w14:textId="77777777" w:rsidR="0062437E" w:rsidRDefault="00000000">
      <w:pPr>
        <w:jc w:val="both"/>
      </w:pPr>
      <w:r>
        <w:t>The boundary of this position is explicit. The empirical warrant covers the studied engagement patterns and the limitations of the deployed input architecture. The proposed multimodal, person-conditioned system and the wider implications for AI evaluation remain future research. They are retained to show the next engineering direction, not to extend the thesis's causal claims beyond the evidence.</w:t>
      </w:r>
    </w:p>
    <w:p w14:paraId="14D58C67" w14:textId="77777777" w:rsidR="0062437E" w:rsidRDefault="00000000">
      <w:pPr>
        <w:pStyle w:val="Heading2"/>
      </w:pPr>
      <w:bookmarkStart w:id="162" w:name="_Toc232024659"/>
      <w:r>
        <w:lastRenderedPageBreak/>
        <w:t>9.9 Limits of What Has Been Shown</w:t>
      </w:r>
      <w:bookmarkEnd w:id="162"/>
    </w:p>
    <w:p w14:paraId="5F78088F" w14:textId="77777777" w:rsidR="0062437E" w:rsidRDefault="00000000">
      <w:pPr>
        <w:jc w:val="both"/>
      </w:pPr>
      <w:r>
        <w:t>The limits are substantial and define the next programme. The empirical claims are restricted to a Southern Chinese residential cohort and a Hong Kong community cohort.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14:paraId="1AED382F" w14:textId="77777777" w:rsidR="0062437E" w:rsidRDefault="00000000">
      <w:pPr>
        <w:pStyle w:val="Heading2"/>
      </w:pPr>
      <w:bookmarkStart w:id="163" w:name="_Toc232024660"/>
      <w:r>
        <w:t>9.10 Natural Extensions</w:t>
      </w:r>
      <w:bookmarkEnd w:id="163"/>
    </w:p>
    <w:p w14:paraId="19911B93" w14:textId="77777777" w:rsidR="0062437E" w:rsidRDefault="00000000">
      <w:pPr>
        <w:jc w:val="both"/>
      </w:pPr>
      <w: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the adaptive-learning framework components and the dynamic-state extension against simpler baselines. Cross-cultural replication, cross-domain application, community-narrative research and person-conditioned adaptive sensing should follow from a stronger causal and construct foundation.</w:t>
      </w:r>
    </w:p>
    <w:p w14:paraId="6EDB883A" w14:textId="77777777" w:rsidR="0062437E" w:rsidRDefault="00000000">
      <w:pPr>
        <w:pStyle w:val="Heading2"/>
      </w:pPr>
      <w:bookmarkStart w:id="164" w:name="_Toc232024661"/>
      <w:r>
        <w:t>9.11 Returning to the Three F4 Residents</w:t>
      </w:r>
      <w:bookmarkEnd w:id="164"/>
    </w:p>
    <w:p w14:paraId="77061141" w14:textId="77777777" w:rsidR="0062437E" w:rsidRDefault="00000000">
      <w:pPr>
        <w:jc w:val="both"/>
      </w:pPr>
      <w: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14:paraId="3ED0D1F1" w14:textId="77777777" w:rsidR="0062437E" w:rsidRDefault="00000000">
      <w:pPr>
        <w:jc w:val="both"/>
      </w:pPr>
      <w:r>
        <w:t xml:space="preserve">Stage 3 showed that post-failure return was common in a separate decoupled cohort, including among adults aged 65-80. It would be inappropriate to estimate that "roughly two" of the three F4 residents would have returned under decoupling, because the studies </w:t>
        <w:lastRenderedPageBreak/>
        <w:t>are not individual-level counterfactuals and the samples differ. The defensible conclusion is that the Stage-3 pattern makes non-return appear modifiable and justifies a controlled test of the frame-sensitive account.</w:t>
      </w:r>
    </w:p>
    <w:p w14:paraId="6C12D09B" w14:textId="77777777" w:rsidR="0062437E" w:rsidRDefault="00000000">
      <w:pPr>
        <w:jc w:val="both"/>
      </w:pPr>
      <w: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14:paraId="28D9C425" w14:textId="77777777" w:rsidR="0062437E" w:rsidRDefault="00000000">
      <w:pPr>
        <w:pStyle w:val="Heading2"/>
      </w:pPr>
      <w:bookmarkStart w:id="165" w:name="_Toc232024662"/>
      <w:r>
        <w:t>9.12 Closing Synthesis</w:t>
      </w:r>
      <w:bookmarkEnd w:id="165"/>
    </w:p>
    <w:p w14:paraId="45468041" w14:textId="77777777" w:rsidR="0062437E" w:rsidRDefault="00000000">
      <w:pPr>
        <w:jc w:val="both"/>
      </w:pPr>
      <w:r>
        <w:t>The thesis began with an underused FRA station in a busy rehabilitation hall and ends with a testable engineering programme. Its argument can be walked in five steps. A null hypothesis, built honestly from the acceptance and gamification literatures, said the station's problem was solvable with good design and game mechanics. The Stage-2 field test rejected it — seventy per cent early disengagement, no returns — even though the game satisfied every criterion the theories name. Stage 3, the attribution experiment, showed the theories were never wrong about older adults: decoupled from the clinical attachment, the same game was accepted at the levels the literature predicts. The failure lives at a boundary — where gamification is attached to a purpose-based technology whose verdicts touch who the user believes they are — and FIAS names its mechanism. And at that boundary the programme found its design discovery: adaptive learning, continuous improvement at the level of the individual user, the one response that can carry clinical purpose back into the experience on the strength of a rising personal trajectory.</w:t>
      </w:r>
    </w:p>
    <w:p w14:paraId="3CB31C06" w14:textId="77777777" w:rsidR="0062437E" w:rsidRDefault="00000000">
      <w:pPr>
        <w:jc w:val="both"/>
      </w:pPr>
      <w:r>
        <w:t>The contribution is therefore a calibrated chain rather than one mechanism demonstrated at four scales, and the chain practises what it proposes: continuous improvement at the researcher's level (the action-research cycles), at the artefact's level (the AI-assisted build) and — as the design discovery for its users — at the level of the individual person. The survey identified a problem signature; Stage 2 characterised failure-associated non-return and the divergence between score change and return; Stage 3 provided convergent quasi-experimental evidence for a frame-sensitive account; the adaptive-learning framework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 Read as one architecture, the chain closes: FIAS supplies the phenomenon, the adaptive-learning framework the design principles, and the dynamic game-state engine the real-time implementation (§7.5A).</w:t>
      </w:r>
    </w:p>
    <w:p w14:paraId="3E46E6ED"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66" w:name="_Toc232024663"/>
      <w:r>
        <w:br w:type="page"/>
      </w:r>
    </w:p>
    <w:p w14:paraId="4115D648" w14:textId="77777777" w:rsidR="0062437E" w:rsidRDefault="00000000">
      <w:pPr>
        <w:pStyle w:val="Heading1"/>
        <w:pageBreakBefore/>
      </w:pPr>
      <w:r>
        <w:lastRenderedPageBreak/>
        <w:t>References</w:t>
      </w:r>
      <w:bookmarkEnd w:id="166"/>
    </w:p>
    <w:p w14:paraId="59CD71E9" w14:textId="77777777" w:rsidR="0062437E" w:rsidRDefault="00000000">
      <w:pPr>
        <w:ind w:left="720" w:hanging="720"/>
        <w:jc w:val="both"/>
      </w:pPr>
      <w:r>
        <w:t>Ahn, M., Brohan, A., Brown, N., Chebotar, Y., Cortes, O., David, B., … Zeng, A. (2022). Do as I can, not as I say: Grounding language in robotic affordances. arXiv preprint arXiv:2204.01691.</w:t>
      </w:r>
    </w:p>
    <w:p>
      <w:r>
        <w:t>Akao, Y. (1990). Quality function deployment: Integrating customer requirements into product design. Productivity Press.</w:t>
      </w:r>
    </w:p>
    <w:p w14:paraId="3997CCB0" w14:textId="77777777" w:rsidR="0062437E" w:rsidRDefault="00000000">
      <w:pPr>
        <w:ind w:left="720" w:hanging="720"/>
        <w:jc w:val="both"/>
      </w:pPr>
      <w:r>
        <w:t>Altmeyer, M., Lessel, P., &amp; Krüger, A. (2018). Investigating gamification for seniors aged 75+. In Proceedings of the 2018 Designing Interactive Systems Conference (pp. 453–458). ACM. https://doi.org/10.1145/3196709.3196799</w:t>
      </w:r>
    </w:p>
    <w:p w14:paraId="0F945C00" w14:textId="77777777" w:rsidR="0062437E" w:rsidRDefault="00000000">
      <w:pPr>
        <w:ind w:left="720" w:hanging="720"/>
        <w:jc w:val="both"/>
      </w:pPr>
      <w:r>
        <w:t>An, S., Cheung, C. F., &amp; Lo, Y. T. (2025). Improving older adults' technology adoption on mobile map: A gamification approach. International Journal of Human–Computer Interaction, 41(15), 9633–9651. https://doi.org/10.1080/10447318.2024.2426914</w:t>
      </w:r>
    </w:p>
    <w:p w14:paraId="499A1A3B" w14:textId="77777777" w:rsidR="0062437E" w:rsidRDefault="00000000">
      <w:pPr>
        <w:ind w:left="720" w:hanging="720"/>
        <w:jc w:val="both"/>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14:paraId="37ED260C" w14:textId="77777777" w:rsidR="0062437E" w:rsidRDefault="00000000">
      <w:pPr>
        <w:ind w:left="720" w:hanging="720"/>
        <w:jc w:val="both"/>
      </w:pPr>
      <w:r>
        <w:t>Antonides, G., de Groot, I. M., &amp; van Raaij, W. F. (2011). Mental budgeting and the management of household finance. Journal of Economic Psychology, 32(4), 546–555.</w:t>
      </w:r>
    </w:p>
    <w:p w14:paraId="1FD96152" w14:textId="77777777" w:rsidR="0062437E" w:rsidRDefault="00000000">
      <w:pPr>
        <w:ind w:left="720" w:hanging="720"/>
        <w:jc w:val="both"/>
      </w:pPr>
      <w:r>
        <w:t>Bandura, A. (1977). Self-efficacy: Toward a unifying theory of behavioral change. Psychological Review, 84(2), 191–215.</w:t>
      </w:r>
    </w:p>
    <w:p w14:paraId="71773AC9" w14:textId="77777777" w:rsidR="0062437E" w:rsidRDefault="00000000">
      <w:pPr>
        <w:ind w:left="720" w:hanging="720"/>
        <w:jc w:val="both"/>
      </w:pPr>
      <w:r>
        <w:t>Bandura, A. (1997). Self-efficacy: The exercise of control. W. H. Freeman.</w:t>
      </w:r>
    </w:p>
    <w:p w14:paraId="06173379" w14:textId="77777777" w:rsidR="0062437E" w:rsidRDefault="00000000">
      <w:pPr>
        <w:ind w:left="720" w:hanging="720"/>
        <w:jc w:val="both"/>
      </w:pPr>
      <w:r>
        <w:t>Barber, S. J. (2017). An examination of age-based stereotype threat about cognitive decline. Perspectives on Psychological Science, 12(1), 62–90.</w:t>
      </w:r>
    </w:p>
    <w:p w14:paraId="431E6593" w14:textId="77777777" w:rsidR="0062437E" w:rsidRDefault="00000000">
      <w:pPr>
        <w:ind w:left="720" w:hanging="720"/>
        <w:jc w:val="both"/>
      </w:pPr>
      <w:r>
        <w:lastRenderedPageBreak/>
        <w:t>Bender, E. M., &amp; Koller, A. (2020). Climbing towards NLU: On meaning, form, and understanding in the age of data. In Proceedings of the 58th Annual Meeting of the Association for Computational Linguistics (pp. 5185–5198). ACL.</w:t>
      </w:r>
    </w:p>
    <w:p w14:paraId="002B9039" w14:textId="77777777" w:rsidR="0062437E" w:rsidRDefault="00000000">
      <w:pPr>
        <w:ind w:left="720" w:hanging="720"/>
        <w:jc w:val="both"/>
      </w:pPr>
      <w:r>
        <w:t>Bjork, E. L., &amp; Bjork, R. A. (2011). Making things hard on yourself, but in a good way: Creating desirable difficulties to enhance learning. In M. A. Gernsbacher, R. W. Pew, L. M. Hough, &amp; J. R. Pomerantz (Eds.), Psychology and the real world (pp. 56–64). Worth.</w:t>
      </w:r>
    </w:p>
    <w:p w14:paraId="224889B0" w14:textId="77777777" w:rsidR="0062437E" w:rsidRDefault="00000000">
      <w:pPr>
        <w:ind w:left="720" w:hanging="720"/>
        <w:jc w:val="both"/>
      </w:pPr>
      <w:r>
        <w:t>Broady, T., Chan, A., &amp; Caputi, P. (2010). Older and younger adults' attitudes towards computers. British Journal of Educational Technology, 41(3), 473–485.</w:t>
      </w:r>
    </w:p>
    <w:p w14:paraId="53D6FA82" w14:textId="77777777" w:rsidR="0062437E" w:rsidRDefault="00000000">
      <w:pPr>
        <w:ind w:left="720" w:hanging="720"/>
        <w:jc w:val="both"/>
      </w:pPr>
      <w:r>
        <w:t>Brooks, R. A. (1991). Intelligence without representation. Artificial Intelligence, 47(1–3), 139–159.</w:t>
      </w:r>
    </w:p>
    <w:p w14:paraId="79551FB8" w14:textId="77777777" w:rsidR="0062437E" w:rsidRDefault="00000000">
      <w:pPr>
        <w:ind w:left="720" w:hanging="720"/>
        <w:jc w:val="both"/>
      </w:pPr>
      <w:r>
        <w:t>Centers for Disease Control and Prevention. (2023). Facts about falls. U.S. Department of Health and Human Services.</w:t>
      </w:r>
    </w:p>
    <w:p>
      <w:r>
        <w:t>Chan, L.-K., &amp; Wu, M.-L. (2002). Quality function deployment: A literature review. European Journal of Operational Research, 143(3), 463–497.</w:t>
      </w:r>
    </w:p>
    <w:p w14:paraId="51AED585" w14:textId="77777777" w:rsidR="0062437E" w:rsidRDefault="00000000">
      <w:pPr>
        <w:ind w:left="720" w:hanging="720"/>
        <w:jc w:val="both"/>
      </w:pPr>
      <w:r>
        <w:t>Chen, G., Gully, S. M., &amp; Eden, D. (2001). Validation of a new general self-efficacy scale. Organizational Research Methods, 4(1), 62–83.</w:t>
      </w:r>
    </w:p>
    <w:p w14:paraId="3B423CF0" w14:textId="77777777" w:rsidR="0062437E" w:rsidRDefault="00000000">
      <w:pPr>
        <w:ind w:left="720" w:hanging="720"/>
        <w:jc w:val="both"/>
      </w:pPr>
      <w:r>
        <w:t>Chen, K., &amp; Chan, A. H. S. (2014). Gerontechnology acceptance by elderly Hong Kong Chinese: A senior technology acceptance model (STAM). Ergonomics, 57(5), 635–652.</w:t>
      </w:r>
    </w:p>
    <w:p w14:paraId="7728930F" w14:textId="77777777" w:rsidR="0062437E" w:rsidRDefault="00000000">
      <w:pPr>
        <w:ind w:left="720" w:hanging="720"/>
        <w:jc w:val="both"/>
      </w:pPr>
      <w:r>
        <w:t>Chollet, F. (2019). On the measure of intelligence. arXiv preprint arXiv:1911.01547.</w:t>
      </w:r>
    </w:p>
    <w:p w14:paraId="6A9E986A" w14:textId="77777777" w:rsidR="0062437E" w:rsidRDefault="00000000">
      <w:pPr>
        <w:ind w:left="720" w:hanging="720"/>
        <w:jc w:val="both"/>
      </w:pPr>
      <w:r>
        <w:t>Chou, Y. (2015). Actionable gamification: Beyond points, badges, and leaderboards. Octalysis Media.</w:t>
      </w:r>
    </w:p>
    <w:p w14:paraId="6149FEFC" w14:textId="77777777" w:rsidR="0062437E" w:rsidRDefault="00000000">
      <w:pPr>
        <w:ind w:left="720" w:hanging="720"/>
        <w:jc w:val="both"/>
      </w:pPr>
      <w:r>
        <w:t>Compeau, D. R., &amp; Higgins, C. A. (1995). Computer self-efficacy: Development of a measure and initial test. MIS Quarterly, 19(2), 189–211.</w:t>
      </w:r>
    </w:p>
    <w:p w14:paraId="6EC7F9A3" w14:textId="77777777" w:rsidR="0062437E" w:rsidRDefault="00000000">
      <w:pPr>
        <w:ind w:left="720" w:hanging="720"/>
        <w:jc w:val="both"/>
      </w:pPr>
      <w:r>
        <w:t>Csikszentmihalyi, M. (1990). Flow: The psychology of optimal experience. Harper &amp; Row.</w:t>
      </w:r>
    </w:p>
    <w:p w14:paraId="08C0D83B" w14:textId="77777777" w:rsidR="0062437E" w:rsidRDefault="00000000">
      <w:pPr>
        <w:ind w:left="720" w:hanging="720"/>
        <w:jc w:val="both"/>
      </w:pPr>
      <w:r>
        <w:t>Davis, F. D. (1989). Perceived usefulness, perceived ease of use, and user acceptance of information technology. MIS Quarterly, 13(3), 319–340.</w:t>
      </w:r>
    </w:p>
    <w:p w14:paraId="69340634" w14:textId="77777777" w:rsidR="0062437E" w:rsidRDefault="00000000">
      <w:pPr>
        <w:ind w:left="720" w:hanging="720"/>
        <w:jc w:val="both"/>
      </w:pPr>
      <w:r>
        <w:t>Deci, E. L., &amp; Ryan, R. M. (1985). Intrinsic motivation and self-determination in human behavior. Plenum.</w:t>
      </w:r>
    </w:p>
    <w:p w14:paraId="0BDEF0A1" w14:textId="77777777" w:rsidR="0062437E" w:rsidRDefault="00000000">
      <w:pPr>
        <w:ind w:left="720" w:hanging="720"/>
        <w:jc w:val="both"/>
      </w:pPr>
      <w:r>
        <w:lastRenderedPageBreak/>
        <w:t>Deterding, S., Dixon, D., Khaled, R., &amp; Nacke, L. (2011). From game design elements to gamefulness: Defining gamification. In Proceedings of the 15th International Academic MindTrek Conference (pp. 9–15). ACM.</w:t>
      </w:r>
    </w:p>
    <w:p w14:paraId="02C20E02" w14:textId="77777777" w:rsidR="0062437E" w:rsidRDefault="00000000">
      <w:pPr>
        <w:ind w:left="720" w:hanging="720"/>
        <w:jc w:val="both"/>
      </w:pPr>
      <w:r>
        <w:t>D'Mello, S., &amp; Graesser, A. (2012). Dynamics of affective states during complex learning. Learning and Instruction, 22(2), 145–157.</w:t>
      </w:r>
    </w:p>
    <w:p w14:paraId="69A01B12" w14:textId="77777777" w:rsidR="0062437E" w:rsidRDefault="00000000">
      <w:pPr>
        <w:ind w:left="720" w:hanging="720"/>
        <w:jc w:val="both"/>
      </w:pPr>
      <w:r>
        <w:t>Driess, D., Xia, F., Sajjadi, M. S. M., Lynch, C., Chowdhery, A., Ichter, B., … Florence, P. (2023). PaLM-E: An embodied multimodal language model. In Proceedings of the 40th International Conference on Machine Learning (ICML 2023). PMLR.</w:t>
      </w:r>
    </w:p>
    <w:p w14:paraId="3E3B7229" w14:textId="77777777" w:rsidR="0062437E" w:rsidRDefault="00000000">
      <w:pPr>
        <w:ind w:left="720" w:hanging="720"/>
        <w:jc w:val="both"/>
      </w:pPr>
      <w:r>
        <w:t>Elliot, A. J., &amp; Murayama, K. (2008). On the measurement of achievement goals: Critique, illustration, and application. Journal of Educational Psychology, 100(3), 613–628.</w:t>
      </w:r>
    </w:p>
    <w:p w14:paraId="0997599A" w14:textId="77777777" w:rsidR="0062437E" w:rsidRDefault="00000000">
      <w:pPr>
        <w:ind w:left="720" w:hanging="720"/>
        <w:jc w:val="both"/>
      </w:pPr>
      <w:r>
        <w:t>Eysenbach, G. (2005). The law of attrition. Journal of Medical Internet Research, 7(1), e11.</w:t>
      </w:r>
    </w:p>
    <w:p w14:paraId="0E552019" w14:textId="77777777" w:rsidR="0062437E" w:rsidRDefault="00000000">
      <w:pPr>
        <w:ind w:left="720" w:hanging="720"/>
        <w:jc w:val="both"/>
      </w:pPr>
      <w:r>
        <w:t>Festinger, L. (1954). A theory of social comparison processes. Human Relations, 7(2), 117–140.</w:t>
      </w:r>
    </w:p>
    <w:p w14:paraId="72BD0691" w14:textId="77777777" w:rsidR="0062437E" w:rsidRDefault="00000000">
      <w:pPr>
        <w:ind w:left="720" w:hanging="720"/>
        <w:jc w:val="both"/>
      </w:pPr>
      <w:r>
        <w:t>Frey, B. S., &amp; Jegen, R. (2001). Motivation crowding theory. Journal of Economic Surveys, 15(5), 589–611.</w:t>
      </w:r>
    </w:p>
    <w:p w14:paraId="58B1DE50" w14:textId="77777777" w:rsidR="0062437E" w:rsidRDefault="00000000">
      <w:pPr>
        <w:ind w:left="720" w:hanging="720"/>
        <w:jc w:val="both"/>
      </w:pPr>
      <w:r>
        <w:t>Friston, K. (2010). The free-energy principle: A unified brain theory? Nature Reviews Neuroscience, 11(2), 127–138.</w:t>
      </w:r>
    </w:p>
    <w:p w14:paraId="3AAA83A5" w14:textId="77777777" w:rsidR="0062437E" w:rsidRDefault="00000000">
      <w:pPr>
        <w:ind w:left="720" w:hanging="720"/>
        <w:jc w:val="both"/>
      </w:pPr>
      <w:r>
        <w:t>Gibson, J. J. (1979). The ecological approach to visual perception. Houghton Mifflin.</w:t>
      </w:r>
    </w:p>
    <w:p w14:paraId="3A892FF3" w14:textId="77777777" w:rsidR="0062437E" w:rsidRDefault="00000000">
      <w:pPr>
        <w:ind w:left="720" w:hanging="720"/>
        <w:jc w:val="both"/>
      </w:pPr>
      <w:r>
        <w:t>Goertzel, B. (2014). Artificial general intelligence: Concept, state of the art, and future prospects. Journal of Artificial General Intelligence, 5(1), 1–48.</w:t>
      </w:r>
    </w:p>
    <w:p w14:paraId="3C016368" w14:textId="77777777" w:rsidR="0062437E" w:rsidRDefault="00000000">
      <w:pPr>
        <w:ind w:left="720" w:hanging="720"/>
        <w:jc w:val="both"/>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14:paraId="1C4F565D" w14:textId="77777777" w:rsidR="0062437E" w:rsidRDefault="00000000">
      <w:pPr>
        <w:ind w:left="720" w:hanging="720"/>
        <w:jc w:val="both"/>
      </w:pPr>
      <w:r>
        <w:t>Ha, D., &amp; Schmidhuber, J. (2018). World models. arXiv preprint arXiv:1803.10122.</w:t>
      </w:r>
    </w:p>
    <w:p w14:paraId="2AB0EF80" w14:textId="77777777" w:rsidR="0062437E" w:rsidRDefault="00000000">
      <w:pPr>
        <w:ind w:left="720" w:hanging="720"/>
        <w:jc w:val="both"/>
      </w:pPr>
      <w:r>
        <w:t>Harnad, S. (1990). The symbol grounding problem. Physica D: Nonlinear Phenomena, 42(1–3), 335–346.</w:t>
      </w:r>
    </w:p>
    <w:p w14:paraId="60E0C070" w14:textId="77777777" w:rsidR="0062437E" w:rsidRDefault="00000000">
      <w:pPr>
        <w:ind w:left="720" w:hanging="720"/>
        <w:jc w:val="both"/>
      </w:pPr>
      <w:r>
        <w:lastRenderedPageBreak/>
        <w:t>Hawthorn, D. (2007). Interface design and engagement with older people. Behaviour &amp; Information Technology, 26(4), 333–341.</w:t>
      </w:r>
    </w:p>
    <w:p w14:paraId="294378B5" w14:textId="77777777" w:rsidR="0062437E" w:rsidRDefault="00000000">
      <w:pPr>
        <w:ind w:left="720" w:hanging="720"/>
        <w:jc w:val="both"/>
      </w:pPr>
      <w:r>
        <w:t>Holt, C. A., &amp; Laury, S. K. (2002). Risk aversion and incentive effects. American Economic Review, 92(5), 1644–1655.</w:t>
      </w:r>
    </w:p>
    <w:p w14:paraId="1C7A8070" w14:textId="77777777" w:rsidR="0062437E" w:rsidRDefault="00000000">
      <w:pPr>
        <w:ind w:left="720" w:hanging="720"/>
        <w:jc w:val="both"/>
      </w:pPr>
      <w:r>
        <w:t>InBody Co., Ltd. (2022). InBody FRA510S: Fall risk assessment system — user manual and product catalogue. InBody Co., Ltd.</w:t>
      </w:r>
    </w:p>
    <w:p w14:paraId="229E0382" w14:textId="77777777" w:rsidR="0062437E" w:rsidRDefault="00000000">
      <w:pPr>
        <w:ind w:left="720" w:hanging="720"/>
        <w:jc w:val="both"/>
      </w:pPr>
      <w:r>
        <w:t>Juul, J. (2013). The art of failure: An essay on the pain of playing video games. MIT Press.</w:t>
      </w:r>
    </w:p>
    <w:p w14:paraId="22F95C42" w14:textId="77777777" w:rsidR="0062437E" w:rsidRDefault="00000000">
      <w:pPr>
        <w:ind w:left="720" w:hanging="720"/>
        <w:jc w:val="both"/>
      </w:pPr>
      <w:r>
        <w:t>Kahneman, D., Knetsch, J. L., &amp; Thaler, R. H. (1990). Experimental tests of the endowment effect and the Coase theorem. Journal of Political Economy, 98(6), 1325–1348.</w:t>
      </w:r>
    </w:p>
    <w:p w14:paraId="53551522" w14:textId="77777777" w:rsidR="0062437E" w:rsidRDefault="00000000">
      <w:pPr>
        <w:ind w:left="720" w:hanging="720"/>
        <w:jc w:val="both"/>
      </w:pPr>
      <w:r>
        <w:t>Kahneman, D., &amp; Tversky, A. (1979). Prospect theory: An analysis of decision under risk. Econometrica, 47(2), 263–292.</w:t>
      </w:r>
    </w:p>
    <w:p w14:paraId="0218AC4C" w14:textId="77777777" w:rsidR="0062437E" w:rsidRDefault="00000000">
      <w:pPr>
        <w:ind w:left="720" w:hanging="720"/>
        <w:jc w:val="both"/>
      </w:pPr>
      <w:r>
        <w:t>Kapur, M. (2008). Productive failure. Cognition and Instruction, 26(3), 379–424.</w:t>
      </w:r>
    </w:p>
    <w:p w14:paraId="07968527" w14:textId="77777777" w:rsidR="0062437E" w:rsidRDefault="00000000">
      <w:pPr>
        <w:ind w:left="720" w:hanging="720"/>
        <w:jc w:val="both"/>
      </w:pPr>
      <w:r>
        <w:t>Kim, M., Kim, S., &amp; Won, C. W. (2018). Test–retest reliability and sensitivity to change of a new fall risk assessment system: A pilot study. Annals of Geriatric Medicine and Research, 22(2), 80–87. https://doi.org/10.4235/agmr.2018.22.2.80</w:t>
      </w:r>
    </w:p>
    <w:p w14:paraId="347EDCB9" w14:textId="77777777" w:rsidR="0062437E" w:rsidRDefault="00000000">
      <w:pPr>
        <w:ind w:left="720" w:hanging="720"/>
        <w:jc w:val="both"/>
      </w:pPr>
      <w:r>
        <w:t>King, W. R., &amp; He, J. (2006). A meta-analysis of the technology acceptance model. Information &amp; Management, 43(6), 740–755.</w:t>
      </w:r>
    </w:p>
    <w:p w14:paraId="01E66E7B" w14:textId="77777777" w:rsidR="0062437E" w:rsidRDefault="00000000">
      <w:pPr>
        <w:ind w:left="720" w:hanging="720"/>
        <w:jc w:val="both"/>
      </w:pPr>
      <w:r>
        <w:t>Koivisto, J., &amp; Malik, A. (2021). Gamification for older adults: A systematic literature review. The Gerontologist, 61(7), e360–e372.</w:t>
      </w:r>
    </w:p>
    <w:p w14:paraId="002921A4" w14:textId="77777777" w:rsidR="0062437E" w:rsidRDefault="00000000">
      <w:pPr>
        <w:ind w:left="720" w:hanging="720"/>
        <w:jc w:val="both"/>
      </w:pPr>
      <w:r>
        <w:t>Kroenke, K., Spitzer, R. L., Williams, J. B. W., &amp; Löwe, B. (2009). An ultra-brief screening scale for anxiety and depression: The PHQ-4. Psychosomatics, 50(6), 613–621.</w:t>
      </w:r>
    </w:p>
    <w:p w14:paraId="44FC4E36" w14:textId="77777777" w:rsidR="0062437E" w:rsidRDefault="00000000">
      <w:pPr>
        <w:ind w:left="720" w:hanging="720"/>
        <w:jc w:val="both"/>
      </w:pPr>
      <w:r>
        <w:t>Lake, B. M., Ullman, T. D., Tenenbaum, J. B., &amp; Gershman, S. J. (2017). Building machines that learn and think like people. Behavioral and Brain Sciences, 40, e253.</w:t>
      </w:r>
    </w:p>
    <w:p w14:paraId="1E51343C" w14:textId="77777777" w:rsidR="0062437E" w:rsidRDefault="00000000">
      <w:pPr>
        <w:ind w:left="720" w:hanging="720"/>
        <w:jc w:val="both"/>
      </w:pPr>
      <w:r>
        <w:t>LeCun, Y. (2022). A path towards autonomous machine intelligence (Version 0.9.2). OpenReview preprint.</w:t>
      </w:r>
    </w:p>
    <w:p w14:paraId="2C4D9FC4" w14:textId="77777777" w:rsidR="0062437E" w:rsidRDefault="00000000">
      <w:pPr>
        <w:ind w:left="720" w:hanging="720"/>
        <w:jc w:val="both"/>
      </w:pPr>
      <w:r>
        <w:lastRenderedPageBreak/>
        <w:t>Lee, C., &amp; Coughlin, J. F. (2015). Older adults' adoption of technology: An integrated approach to identifying determinants and barriers. Journal of Product Innovation Management, 32(5), 747–759.</w:t>
      </w:r>
    </w:p>
    <w:p w14:paraId="38F6DDFF" w14:textId="77777777" w:rsidR="0062437E" w:rsidRDefault="00000000">
      <w:pPr>
        <w:ind w:left="720" w:hanging="720"/>
        <w:jc w:val="both"/>
      </w:pPr>
      <w:r>
        <w:t>Legg, S., &amp; Hutter, M. (2007). Universal intelligence: A definition of machine intelligence. Minds and Machines, 17(4), 391–444.</w:t>
      </w:r>
    </w:p>
    <w:p w14:paraId="71AF5786" w14:textId="77777777" w:rsidR="0062437E" w:rsidRDefault="00000000">
      <w:pPr>
        <w:ind w:left="720" w:hanging="720"/>
        <w:jc w:val="both"/>
      </w:pPr>
      <w:r>
        <w:t>Levy, B. R., Slade, M. D., Kunkel, S. R., &amp; Kasl, S. V. (2002). Longevity increased by positive self-perceptions of aging. Journal of Personality and Social Psychology, 83(2), 261–270.</w:t>
      </w:r>
    </w:p>
    <w:p w14:paraId="6EBDB25A" w14:textId="77777777" w:rsidR="0062437E" w:rsidRDefault="00000000">
      <w:pPr>
        <w:ind w:left="720" w:hanging="720"/>
        <w:jc w:val="both"/>
      </w:pPr>
      <w:r>
        <w:t>Lewin, K. (1946). Action research and minority problems. Journal of Social Issues, 2(4), 34–46.</w:t>
      </w:r>
    </w:p>
    <w:p w14:paraId="7E701E81" w14:textId="77777777" w:rsidR="0062437E" w:rsidRDefault="00000000">
      <w:pPr>
        <w:ind w:left="720" w:hanging="720"/>
        <w:jc w:val="both"/>
      </w:pPr>
      <w:r>
        <w:t>Li, F.-F. (2025, November 10). From words to worlds: Spatial intelligence is AI's next frontier. Substack. https://drfeifei.substack.com/p/from-words-to-worlds-spatial-intelligence</w:t>
      </w:r>
    </w:p>
    <w:p w14:paraId="2E4F25CA" w14:textId="77777777" w:rsidR="0062437E" w:rsidRDefault="00000000">
      <w:pPr>
        <w:ind w:left="720" w:hanging="720"/>
        <w:jc w:val="both"/>
      </w:pPr>
      <w:r>
        <w:t>Liu, X., Cruz Rivera, S., Moher, D., Calvert, M. J., Denniston, A. K., &amp; SPIRIT-AI and CONSORT-AI Working Group. (2020). Reporting guidelines for clinical trials evaluating artificial intelligence interventions: SPIRIT-AI. Nature Medicine, 26, 1364–1374.</w:t>
      </w:r>
    </w:p>
    <w:p w14:paraId="2D6971A7" w14:textId="77777777" w:rsidR="0062437E" w:rsidRDefault="00000000">
      <w:pPr>
        <w:ind w:left="720" w:hanging="720"/>
        <w:jc w:val="both"/>
      </w:pPr>
      <w:r>
        <w:t>Locke, E. A., &amp; Latham, G. P. (2002). Building a practically useful theory of goal setting and task motivation: A 35-year odyssey. American Psychologist, 57(9), 705–717.</w:t>
      </w:r>
    </w:p>
    <w:p w14:paraId="4139E125" w14:textId="77777777" w:rsidR="0062437E" w:rsidRDefault="00000000">
      <w:pPr>
        <w:ind w:left="720" w:hanging="720"/>
        <w:jc w:val="both"/>
      </w:pPr>
      <w:r>
        <w:t>Mahowald, K., Ivanova, A. A., Blank, I. A., Kanwisher, N., Tenenbaum, J. B., &amp; Fedorenko, E. (2024). Dissociating language and thought in large language models. Trends in Cognitive Sciences, 28(6), 517–540.</w:t>
      </w:r>
    </w:p>
    <w:p w14:paraId="647F1B3C" w14:textId="77777777" w:rsidR="0062437E" w:rsidRDefault="00000000">
      <w:pPr>
        <w:ind w:left="720" w:hanging="720"/>
        <w:jc w:val="both"/>
      </w:pPr>
      <w:r>
        <w:t>McGlone, M. S., &amp; Aronson, J. (2006). Stereotype threat, identity salience, and spatial reasoning. Journal of Applied Developmental Psychology, 27(5), 486–493.</w:t>
      </w:r>
    </w:p>
    <w:p w14:paraId="7B44C1FB" w14:textId="77777777" w:rsidR="0062437E" w:rsidRDefault="00000000">
      <w:pPr>
        <w:ind w:left="720" w:hanging="720"/>
        <w:jc w:val="both"/>
      </w:pPr>
      <w:r>
        <w:t>Michie, S., van Stralen, M. M., &amp; West, R. (2011). The behaviour change wheel: A new method for characterising and designing behaviour change interventions. Implementation Science, 6, 42.</w:t>
      </w:r>
    </w:p>
    <w:p w14:paraId="17D2BDAF" w14:textId="77777777" w:rsidR="0062437E" w:rsidRDefault="00000000">
      <w:pPr>
        <w:ind w:left="720" w:hanging="720"/>
        <w:jc w:val="both"/>
      </w:pPr>
      <w:r>
        <w:t xml:space="preserve">Nasreddine, Z. S., Phillips, N. A., Bédirian, V., Charbonneau, S., Whitehead, V., Collin, I., Cummings, J. L., &amp; Chertkow, H. (2005). The Montreal Cognitive Assessment, </w:t>
        <w:lastRenderedPageBreak/>
        <w:t>MoCA: A brief screening tool for mild cognitive impairment. Journal of the American Geriatrics Society, 53(4), 695–699.</w:t>
      </w:r>
    </w:p>
    <w:p w14:paraId="0AC3B406" w14:textId="77777777" w:rsidR="0062437E" w:rsidRDefault="00000000">
      <w:pPr>
        <w:ind w:left="720" w:hanging="720"/>
        <w:jc w:val="both"/>
      </w:pPr>
      <w:r>
        <w:t>Nonaka, I., &amp; Takeuchi, H. (1995). The knowledge-creating company: How Japanese companies create the dynamics of innovation. Oxford University Press.</w:t>
      </w:r>
    </w:p>
    <w:p w14:paraId="10DE0EAB" w14:textId="77777777" w:rsidR="0062437E" w:rsidRDefault="00000000">
      <w:pPr>
        <w:ind w:left="720" w:hanging="720"/>
        <w:jc w:val="both"/>
      </w:pPr>
      <w:r>
        <w:t>Park, W.-C., Kim, M., Kim, S., Yoo, J., Kim, B. S., Chon, J., Jeong, S. J., &amp; Won, C. W. (2019). Introduction of fall risk assessment (FRA) system and cross-sectional validation among community-dwelling older adults. Annals of Rehabilitation Medicine, 43(1), 87–95. https://doi.org/10.5535/arm.2019.43.1.87</w:t>
      </w:r>
    </w:p>
    <w:p w14:paraId="31E56A59" w14:textId="77777777" w:rsidR="0062437E" w:rsidRDefault="00000000">
      <w:pPr>
        <w:ind w:left="720" w:hanging="720"/>
        <w:jc w:val="both"/>
      </w:pPr>
      <w:r>
        <w:t>Picard, R. W. (1997). Affective computing. MIT Press.</w:t>
      </w:r>
    </w:p>
    <w:p w14:paraId="492DA2F6" w14:textId="77777777" w:rsidR="0062437E" w:rsidRDefault="00000000">
      <w:pPr>
        <w:ind w:left="720" w:hanging="720"/>
        <w:jc w:val="both"/>
      </w:pPr>
      <w:r>
        <w:t>Polanyi, M. (1966). The tacit dimension. Doubleday.</w:t>
      </w:r>
    </w:p>
    <w:p w14:paraId="76D18DE8" w14:textId="77777777" w:rsidR="0062437E" w:rsidRDefault="00000000">
      <w:pPr>
        <w:ind w:left="720" w:hanging="720"/>
        <w:jc w:val="both"/>
      </w:pPr>
      <w:r>
        <w:t>Reason, P., &amp; Bradbury, H. (Eds.). (2008). The SAGE handbook of action research: Participative inquiry and practice (2nd ed.). SAGE.</w:t>
      </w:r>
    </w:p>
    <w:p w14:paraId="603DF59D" w14:textId="77777777" w:rsidR="0062437E" w:rsidRDefault="00000000">
      <w:pPr>
        <w:ind w:left="720" w:hanging="720"/>
        <w:jc w:val="both"/>
      </w:pPr>
      <w:r>
        <w:t>Ryan, R. M., &amp; Deci, E. L. (2000). Self-determination theory and the facilitation of intrinsic motivation, social development, and well-being. American Psychologist, 55(1), 68–78.</w:t>
      </w:r>
    </w:p>
    <w:p w14:paraId="44047D4C" w14:textId="77777777" w:rsidR="0062437E" w:rsidRDefault="00000000">
      <w:pPr>
        <w:ind w:left="720" w:hanging="720"/>
        <w:jc w:val="both"/>
      </w:pPr>
      <w:r>
        <w:t>Satchell, C., &amp; Dourish, P. (2009). Beyond the user: Use and non-use in HCI. In Proceedings of OzCHI 2009 (pp. 9–16). ACM.</w:t>
      </w:r>
    </w:p>
    <w:p w14:paraId="7B47B0B6" w14:textId="77777777" w:rsidR="0062437E" w:rsidRDefault="00000000">
      <w:pPr>
        <w:ind w:left="720" w:hanging="720"/>
        <w:jc w:val="both"/>
      </w:pPr>
      <w:r>
        <w:t>Schroeder, T., Dodds, L., Georgiou, A., Gewald, H., &amp; Siette, J. (2023). Older adults and new technology: Mapping review of the factors associated with older adults' intention to adopt digital technologies. JMIR Aging, 6, e44564.</w:t>
      </w:r>
    </w:p>
    <w:p w14:paraId="085329BC" w14:textId="77777777" w:rsidR="0062437E" w:rsidRDefault="00000000">
      <w:pPr>
        <w:ind w:left="720" w:hanging="720"/>
        <w:jc w:val="both"/>
      </w:pPr>
      <w:r>
        <w:t>Shannon, C. E. (1948). A mathematical theory of communication. Bell System Technical Journal, 27(3), 379–423; 27(4), 623–656.</w:t>
      </w:r>
    </w:p>
    <w:p w14:paraId="7974CF42" w14:textId="77777777" w:rsidR="0062437E" w:rsidRDefault="00000000">
      <w:pPr>
        <w:ind w:left="720" w:hanging="720"/>
        <w:jc w:val="both"/>
      </w:pPr>
      <w:r>
        <w:t>Standing Committee of the National People's Congress. (2021). Personal information protection law of the People's Republic of China.</w:t>
      </w:r>
    </w:p>
    <w:p w14:paraId="11401F80" w14:textId="77777777" w:rsidR="0062437E" w:rsidRDefault="00000000">
      <w:pPr>
        <w:ind w:left="720" w:hanging="720"/>
        <w:jc w:val="both"/>
      </w:pPr>
      <w:r>
        <w:t>Steele, C. M., &amp; Aronson, J. (1995). Stereotype threat and the intellectual test performance of African Americans. Journal of Personality and Social Psychology, 69(5), 797–811.</w:t>
      </w:r>
    </w:p>
    <w:p w14:paraId="64052307" w14:textId="77777777" w:rsidR="0062437E" w:rsidRDefault="00000000">
      <w:pPr>
        <w:ind w:left="720" w:hanging="720"/>
        <w:jc w:val="both"/>
      </w:pPr>
      <w:r>
        <w:t>Stringer, E. T. (2014). Action research (4th ed.). SAGE.</w:t>
      </w:r>
    </w:p>
    <w:p w14:paraId="341D9FDB" w14:textId="77777777" w:rsidR="0062437E" w:rsidRDefault="00000000">
      <w:pPr>
        <w:ind w:left="720" w:hanging="720"/>
        <w:jc w:val="both"/>
      </w:pPr>
      <w:r>
        <w:lastRenderedPageBreak/>
        <w:t>Sutton, R. S., &amp; Barto, A. G. (2018). Reinforcement learning: An introduction (2nd ed.). MIT Press.</w:t>
      </w:r>
    </w:p>
    <w:p w14:paraId="6F8A6601" w14:textId="77777777" w:rsidR="0062437E" w:rsidRDefault="00000000">
      <w:pPr>
        <w:ind w:left="720" w:hanging="720"/>
        <w:jc w:val="both"/>
      </w:pPr>
      <w:r>
        <w:t>Thaler, R. H. (1980). Toward a positive theory of consumer choice. Journal of Economic Behavior &amp; Organization, 1(1), 39–60.</w:t>
      </w:r>
    </w:p>
    <w:p w14:paraId="2B781F36" w14:textId="77777777" w:rsidR="0062437E" w:rsidRDefault="00000000">
      <w:pPr>
        <w:ind w:left="720" w:hanging="720"/>
        <w:jc w:val="both"/>
      </w:pPr>
      <w:r>
        <w:t>Thaler, R. H. (1985). Mental accounting and consumer choice. Marketing Science, 4(3), 199–214.</w:t>
      </w:r>
    </w:p>
    <w:p w14:paraId="3A523535" w14:textId="77777777" w:rsidR="0062437E" w:rsidRDefault="00000000">
      <w:pPr>
        <w:ind w:left="720" w:hanging="720"/>
        <w:jc w:val="both"/>
      </w:pPr>
      <w:r>
        <w:t>Tsai, T. H., Lin, W. Y., Chang, Y. S., Chang, P. C., &amp; Lee, M. Y. (2020). Determinants of user acceptance of a specific social platform for older adults: An empirical examination of user interface characteristics and behavioural intention. PLOS ONE, 15(1), e0227270.</w:t>
      </w:r>
    </w:p>
    <w:p w14:paraId="7ECFFCE1" w14:textId="77777777" w:rsidR="0062437E" w:rsidRDefault="00000000">
      <w:pPr>
        <w:ind w:left="720" w:hanging="720"/>
        <w:jc w:val="both"/>
      </w:pPr>
      <w:r>
        <w:t>Tversky, A., &amp; Kahneman, D. (1991). Loss aversion in riskless choice: A reference-dependent model. Quarterly Journal of Economics, 106(4), 1039–1061.</w:t>
      </w:r>
    </w:p>
    <w:p w14:paraId="0C2540A6" w14:textId="77777777" w:rsidR="0062437E" w:rsidRDefault="00000000">
      <w:pPr>
        <w:ind w:left="720" w:hanging="720"/>
        <w:jc w:val="both"/>
      </w:pPr>
      <w:r>
        <w:t>VanLehn, K. (2011). The relative effectiveness of human tutoring, intelligent tutoring systems, and other tutoring systems. Educational Psychologist, 46(4), 197–221.</w:t>
      </w:r>
    </w:p>
    <w:p w14:paraId="0C2DCBFE" w14:textId="77777777" w:rsidR="0062437E" w:rsidRDefault="00000000">
      <w:pPr>
        <w:ind w:left="720" w:hanging="720"/>
        <w:jc w:val="both"/>
      </w:pPr>
      <w:r>
        <w:t>Venkatesh, V., &amp; Bala, H. (2008). Technology acceptance model 3 and a research agenda on interventions. Decision Sciences, 39(2), 273–315.</w:t>
      </w:r>
    </w:p>
    <w:p w14:paraId="53F77EC7" w14:textId="77777777" w:rsidR="0062437E" w:rsidRDefault="00000000">
      <w:pPr>
        <w:ind w:left="720" w:hanging="720"/>
        <w:jc w:val="both"/>
      </w:pPr>
      <w:r>
        <w:t>Venkatesh, V., &amp; Davis, F. D. (2000). A theoretical extension of the technology acceptance model: Four longitudinal field studies. Management Science, 46(2), 186–204.</w:t>
      </w:r>
    </w:p>
    <w:p w14:paraId="58C77846" w14:textId="77777777" w:rsidR="0062437E" w:rsidRDefault="00000000">
      <w:pPr>
        <w:ind w:left="720" w:hanging="720"/>
        <w:jc w:val="both"/>
      </w:pPr>
      <w:r>
        <w:t>Venkatesh, V., Morris, M. G., Davis, G. B., &amp; Davis, F. D. (2003). User acceptance of information technology: Toward a unified view. MIS Quarterly, 27(3), 425–478.</w:t>
      </w:r>
    </w:p>
    <w:p w14:paraId="775E096A" w14:textId="77777777" w:rsidR="0062437E" w:rsidRDefault="00000000">
      <w:pPr>
        <w:ind w:left="720" w:hanging="720"/>
        <w:jc w:val="both"/>
      </w:pPr>
      <w:r>
        <w:t>Vickers, A. J., &amp; Elkin, E. B. (2006). Decision curve analysis: A novel method for evaluating prediction models. Medical Decision Making, 26(6), 565–574.</w:t>
      </w:r>
    </w:p>
    <w:p w14:paraId="6D9C2E9A" w14:textId="77777777" w:rsidR="0062437E" w:rsidRDefault="00000000">
      <w:pPr>
        <w:ind w:left="720" w:hanging="720"/>
        <w:jc w:val="both"/>
      </w:pPr>
      <w:r>
        <w:t>von Elm, E., Altman, D. G., Egger, M., Pocock, S. J., Gøtzsche, P. C., &amp; Vandenbroucke, J. P. (2007). The Strengthening the Reporting of Observational Studies in Epidemiology (STROBE) statement: Guidelines for reporting observational studies. Annals of Internal Medicine, 147(8), 573–577.</w:t>
      </w:r>
    </w:p>
    <w:p w14:paraId="1BB4B6F8" w14:textId="77777777" w:rsidR="0062437E" w:rsidRDefault="00000000">
      <w:pPr>
        <w:ind w:left="720" w:hanging="720"/>
        <w:jc w:val="both"/>
      </w:pPr>
      <w:r>
        <w:t>Vygotsky, L. S. (1978). Mind in society: The development of higher psychological processes. Harvard University Press.</w:t>
      </w:r>
    </w:p>
    <w:p w14:paraId="7EDC06A8" w14:textId="77777777" w:rsidR="0062437E" w:rsidRDefault="00000000">
      <w:pPr>
        <w:ind w:left="720" w:hanging="720"/>
        <w:jc w:val="both"/>
      </w:pPr>
      <w:r>
        <w:lastRenderedPageBreak/>
        <w:t>World Health Organization. (2007). WHO global report on falls prevention in older age. World Health Organization.</w:t>
      </w:r>
    </w:p>
    <w:p w14:paraId="59F84E92" w14:textId="77777777" w:rsidR="0062437E" w:rsidRDefault="00000000">
      <w:pPr>
        <w:ind w:left="720" w:hanging="720"/>
        <w:jc w:val="both"/>
      </w:pPr>
      <w:r>
        <w:t>World Health Organization. (2023). Falls (Fact sheet). World Health Organization. https://www.who.int/news-room/fact-sheets/detail/falls</w:t>
      </w:r>
    </w:p>
    <w:p>
      <w:r>
        <w:t>World Health Organization. (2024). Ageing and health (Fact sheet). World Health Organization. https://www.who.int/news-room/fact-sheets/detail/ageing-and-health</w:t>
      </w:r>
    </w:p>
    <w:p w14:paraId="25EB1454" w14:textId="77777777" w:rsidR="0062437E" w:rsidRDefault="00000000">
      <w:pPr>
        <w:ind w:left="720" w:hanging="720"/>
        <w:jc w:val="both"/>
      </w:pPr>
      <w:r>
        <w:t>Wittgenstein, L. (1922). Tractatus logico-philosophicus (C. K. Ogden, Trans.). Kegan Paul, Trench, Trubner. (Original work published 1921)</w:t>
      </w:r>
    </w:p>
    <w:p w14:paraId="46779376" w14:textId="77777777" w:rsidR="0062437E" w:rsidRDefault="00000000">
      <w:pPr>
        <w:ind w:left="720" w:hanging="720"/>
        <w:jc w:val="both"/>
      </w:pPr>
      <w:r>
        <w:t>Yardley, L., Beyer, N., Hauer, K., Kempen, G., Piot-Ziegler, C., &amp; Todd, C. (2005). Development and initial validation of the Falls Efficacy Scale-International (FES-I). Age and Ageing, 34(6), 614–619.</w:t>
      </w:r>
    </w:p>
    <w:p w14:paraId="7460F180" w14:textId="77777777" w:rsidR="0062437E" w:rsidRDefault="00000000">
      <w:pPr>
        <w:pStyle w:val="Heading1"/>
        <w:pageBreakBefore/>
      </w:pPr>
      <w:bookmarkStart w:id="167" w:name="_Toc232024664"/>
      <w:r>
        <w:t>Appendices</w:t>
      </w:r>
      <w:bookmarkEnd w:id="167"/>
    </w:p>
    <w:p w14:paraId="461DC152" w14:textId="77777777" w:rsidR="0062437E" w:rsidRDefault="00000000">
      <w:pPr>
        <w:jc w:val="both"/>
      </w:pPr>
      <w:r>
        <w:t>This section contains the supporting instruments, coding rules, protocols and reference materials referenced in the main thesis. Where exact item wording, raw participant data, or photographic records are to be added by the author at the final binding stage, the placeholder is marked clearly.</w:t>
      </w:r>
    </w:p>
    <w:p w14:paraId="7E8E505C"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68" w:name="_Toc232024665"/>
      <w:r>
        <w:br w:type="page"/>
      </w:r>
    </w:p>
    <w:p w14:paraId="34ADD701" w14:textId="77777777" w:rsidR="0062437E" w:rsidRDefault="00000000">
      <w:pPr>
        <w:pStyle w:val="Heading2"/>
      </w:pPr>
      <w:r>
        <w:lastRenderedPageBreak/>
        <w:t>Appendix A · Stage-1 Survey Instrument</w:t>
      </w:r>
      <w:bookmarkEnd w:id="168"/>
    </w:p>
    <w:p w14:paraId="0C1E0554" w14:textId="77777777" w:rsidR="0062437E" w:rsidRDefault="00000000">
      <w:pPr>
        <w:jc w:val="both"/>
      </w:pPr>
      <w: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14:paraId="76BF1153" w14:textId="77777777" w:rsidR="0062437E" w:rsidRDefault="00000000">
      <w:pPr>
        <w:pStyle w:val="Heading3"/>
      </w:pPr>
      <w:bookmarkStart w:id="169" w:name="_Toc232024666"/>
      <w:r>
        <w:t>A.1 · Survey Items</w:t>
      </w:r>
      <w:bookmarkEnd w:id="169"/>
    </w:p>
    <w:p w14:paraId="1B0884A2" w14:textId="77777777" w:rsidR="0062437E" w:rsidRDefault="00000000">
      <w:pPr>
        <w:jc w:val="both"/>
      </w:pPr>
      <w:r>
        <w:t>The instrument consisted of six closed items with binary Yes/No response. The items moved from awareness through prior exposure to current use intention, in the order shown below.</w:t>
      </w:r>
    </w:p>
    <w:p w14:paraId="30D4E87C" w14:textId="77777777" w:rsidR="0062437E" w:rsidRDefault="00000000">
      <w:pPr>
        <w:jc w:val="both"/>
      </w:pPr>
      <w:r>
        <w:t>Item 1 · Awareness: Have you heard of the Fall Risk Assessment (FRA) system available at this facility?</w:t>
      </w:r>
    </w:p>
    <w:p w14:paraId="72E7A846" w14:textId="77777777" w:rsidR="0062437E" w:rsidRDefault="00000000">
      <w:pPr>
        <w:jc w:val="both"/>
      </w:pPr>
      <w:r>
        <w:t>Item 2 · Prior exposure: Have you ever used the FRA system?</w:t>
      </w:r>
    </w:p>
    <w:p w14:paraId="3C2F6D5B" w14:textId="77777777" w:rsidR="0062437E" w:rsidRDefault="00000000">
      <w:pPr>
        <w:jc w:val="both"/>
      </w:pPr>
      <w:r>
        <w:t>Item 3 · First-time outcome: At your first attempt, did the system give you a result you understood and accepted?</w:t>
      </w:r>
    </w:p>
    <w:p w14:paraId="02831381" w14:textId="77777777" w:rsidR="0062437E" w:rsidRDefault="00000000">
      <w:pPr>
        <w:jc w:val="both"/>
      </w:pPr>
      <w:r>
        <w:t>Item 4 · Continuation: After your first use, did you ever come back to the FRA system?</w:t>
      </w:r>
    </w:p>
    <w:p w14:paraId="798FEE5D" w14:textId="77777777" w:rsidR="0062437E" w:rsidRDefault="00000000">
      <w:pPr>
        <w:jc w:val="both"/>
      </w:pPr>
      <w:r>
        <w:t>Item 5 · Reason for non-return: If you did not come back, was the main reason that you found the experience uncomfortable, embarrassing, or discouraging?</w:t>
      </w:r>
    </w:p>
    <w:p w14:paraId="21B84FF7" w14:textId="77777777" w:rsidR="0062437E" w:rsidRDefault="00000000">
      <w:pPr>
        <w:jc w:val="both"/>
      </w:pPr>
      <w:r>
        <w:t>Item 6 · Future intention: If a friendlier version of the same system were offered, would you be willing to try it again?</w:t>
      </w:r>
    </w:p>
    <w:p w14:paraId="36E0699C" w14:textId="77777777" w:rsidR="0062437E" w:rsidRDefault="00000000">
      <w:pPr>
        <w:pStyle w:val="AuthorAction"/>
        <w:jc w:val="both"/>
      </w:pPr>
      <w:r>
        <w:rPr>
          <w:i w:val="0"/>
        </w:rPr>
        <w:t>(Verbatim bilingual wording and administration records to be inserted.)</w:t>
      </w:r>
    </w:p>
    <w:p w14:paraId="5A4045F6"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0" w:name="_Toc232024667"/>
      <w:r>
        <w:br w:type="page"/>
      </w:r>
    </w:p>
    <w:p w14:paraId="6EC8C25C" w14:textId="77777777" w:rsidR="0062437E" w:rsidRDefault="00000000">
      <w:pPr>
        <w:pStyle w:val="Heading2"/>
      </w:pPr>
      <w:r>
        <w:lastRenderedPageBreak/>
        <w:t>Appendix B · Stage-2 FIAS Coding Scheme</w:t>
      </w:r>
      <w:bookmarkEnd w:id="170"/>
    </w:p>
    <w:p w14:paraId="26D53504" w14:textId="77777777" w:rsidR="0062437E" w:rsidRDefault="00000000">
      <w:pPr>
        <w:pStyle w:val="AuthorAction"/>
        <w:jc w:val="both"/>
      </w:pPr>
      <w:r>
        <w:t>The Stage-2 coding scheme operationalises the provisional FIAS hypothesis through thirteen binary attributes drawn from STAM and selected Octalysis drives, collapsed onto a 0–10 composite by the rule specified in the coding table below. Five descriptive categories are used: F0 (no failure signal), F1 (mild discomfort), F2 (clear distress), F3 (active disengagement) and F4 (observed non-return under the study definition). The codebook specifies every item, weight, threshold, source, missing-data rule and adjudication procedure. Outcome-defining variables such as cycle count and return status must not be embedded in a predictor score that is then claimed to predict the same outcome; the validation analysis is therefore reported separately from the scoring rules.</w:t>
      </w:r>
    </w:p>
    <w:p w14:paraId="5C5F9C04" w14:textId="77777777" w:rsidR="0062437E" w:rsidRDefault="00000000">
      <w:pPr>
        <w:pStyle w:val="AuthorAction"/>
        <w:jc w:val="both"/>
      </w:pPr>
      <w:r>
        <w:rPr>
          <w:i w:val="0"/>
        </w:rPr>
        <w:t>(The full coding table and reliability statistics will be bound here.)</w:t>
      </w:r>
    </w:p>
    <w:p w14:paraId="5AF11CD1"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1" w:name="_Toc232024668"/>
      <w:r>
        <w:br w:type="page"/>
      </w:r>
    </w:p>
    <w:p w14:paraId="6EEB762F" w14:textId="77777777" w:rsidR="0062437E" w:rsidRDefault="00000000">
      <w:pPr>
        <w:pStyle w:val="Heading2"/>
      </w:pPr>
      <w:r>
        <w:lastRenderedPageBreak/>
        <w:t>Appendix C · Stage-2 F4 Interview Protocol</w:t>
      </w:r>
      <w:bookmarkEnd w:id="171"/>
    </w:p>
    <w:p w14:paraId="5A21D75E" w14:textId="77777777" w:rsidR="0062437E" w:rsidRDefault="00000000">
      <w:pPr>
        <w:jc w:val="both"/>
      </w:pPr>
      <w:r>
        <w:t>A nine-question semi-structured interview was administered to F4 participants between three and five days after the abandoned session. The interview was conducted in Mandarin or Cantonese at the participant's preference, in a quiet meeting room at the facility, with one nursing staff member present at the participant's choice. Audio was recorded with explicit consent; transcripts were anonymised at coding stage.</w:t>
      </w:r>
    </w:p>
    <w:p w14:paraId="5F50195F" w14:textId="77777777" w:rsidR="0062437E" w:rsidRDefault="00000000">
      <w:pPr>
        <w:pStyle w:val="Heading3"/>
      </w:pPr>
      <w:bookmarkStart w:id="172" w:name="_Toc232024669"/>
      <w:r>
        <w:t>C.1 · Question Set</w:t>
      </w:r>
      <w:bookmarkEnd w:id="172"/>
    </w:p>
    <w:p w14:paraId="1EEA44C1" w14:textId="77777777" w:rsidR="0062437E" w:rsidRDefault="00000000">
      <w:pPr>
        <w:jc w:val="both"/>
      </w:pPr>
      <w:r>
        <w:t>Q1 · Recall: Can you tell me, in your own words, what happened during your first session with the system?</w:t>
      </w:r>
    </w:p>
    <w:p w14:paraId="1C5C6187" w14:textId="77777777" w:rsidR="0062437E" w:rsidRDefault="00000000">
      <w:pPr>
        <w:jc w:val="both"/>
      </w:pPr>
      <w:r>
        <w:t>Q2 · Affect: How did you feel at the moment the system gave you the result?</w:t>
      </w:r>
    </w:p>
    <w:p w14:paraId="1F16417A" w14:textId="77777777" w:rsidR="0062437E" w:rsidRDefault="00000000">
      <w:pPr>
        <w:jc w:val="both"/>
      </w:pPr>
      <w:r>
        <w:t>Q3 · Self-attribution: Looking back, who or what do you feel was responsible for the result?</w:t>
      </w:r>
    </w:p>
    <w:p w14:paraId="33DA9919" w14:textId="77777777" w:rsidR="0062437E" w:rsidRDefault="00000000">
      <w:pPr>
        <w:jc w:val="both"/>
      </w:pPr>
      <w:r>
        <w:t>Q4 · Identity: When the result came up, what kind of person did you feel the system was telling you that you are?</w:t>
      </w:r>
    </w:p>
    <w:p w14:paraId="64301B43" w14:textId="77777777" w:rsidR="0062437E" w:rsidRDefault="00000000">
      <w:pPr>
        <w:jc w:val="both"/>
      </w:pPr>
      <w:r>
        <w:t>Q5 · Comparison: Did you feel the result was about your body, or about you as a person?</w:t>
      </w:r>
    </w:p>
    <w:p w14:paraId="2492C89C" w14:textId="77777777" w:rsidR="0062437E" w:rsidRDefault="00000000">
      <w:pPr>
        <w:jc w:val="both"/>
      </w:pPr>
      <w:r>
        <w:t>Q6 · Decision: When did you decide you would not come back?</w:t>
      </w:r>
    </w:p>
    <w:p w14:paraId="2E26D866" w14:textId="77777777" w:rsidR="0062437E" w:rsidRDefault="00000000">
      <w:pPr>
        <w:jc w:val="both"/>
      </w:pPr>
      <w:r>
        <w:t>Q7 · Counter-factual: Is there anything that could have changed your mind that day?</w:t>
      </w:r>
    </w:p>
    <w:p w14:paraId="23487EB9" w14:textId="77777777" w:rsidR="0062437E" w:rsidRDefault="00000000">
      <w:pPr>
        <w:jc w:val="both"/>
      </w:pPr>
      <w:r>
        <w:t>Q8 · Future framing: If the same activity had been described differently to you, would you have stayed?</w:t>
      </w:r>
    </w:p>
    <w:p w14:paraId="2F32457E" w14:textId="77777777" w:rsidR="0062437E" w:rsidRDefault="00000000">
      <w:pPr>
        <w:jc w:val="both"/>
      </w:pPr>
      <w:r>
        <w:t>Q9 · Open: Is there anything else you would like the research team to understand?</w:t>
      </w:r>
    </w:p>
    <w:p w14:paraId="36A0B4C9" w14:textId="77777777" w:rsidR="0062437E" w:rsidRDefault="00000000">
      <w:pPr>
        <w:pStyle w:val="AuthorAction"/>
        <w:jc w:val="both"/>
      </w:pPr>
      <w:r>
        <w:rPr>
          <w:i w:val="0"/>
        </w:rPr>
        <w:t>(Verbatim bilingual wording and one sample transcript to be inserted.)</w:t>
      </w:r>
    </w:p>
    <w:p w14:paraId="4E445DD5"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3" w:name="_Toc232024670"/>
      <w:r>
        <w:br w:type="page"/>
      </w:r>
    </w:p>
    <w:p w14:paraId="2FD093EA" w14:textId="77777777" w:rsidR="0062437E" w:rsidRDefault="00000000">
      <w:pPr>
        <w:pStyle w:val="Heading2"/>
      </w:pPr>
      <w:r>
        <w:lastRenderedPageBreak/>
        <w:t>Appendix D · Stage-3 Decoupling Questionnaire</w:t>
      </w:r>
      <w:bookmarkEnd w:id="173"/>
    </w:p>
    <w:p w14:paraId="6FC7422F" w14:textId="77777777" w:rsidR="0062437E" w:rsidRDefault="00000000">
      <w:pPr>
        <w:jc w:val="both"/>
      </w:pPr>
      <w: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w:t>
      </w:r>
    </w:p>
    <w:p w14:paraId="4A42FE88" w14:textId="77777777" w:rsidR="0062437E" w:rsidRDefault="00000000">
      <w:pPr>
        <w:pStyle w:val="Heading3"/>
      </w:pPr>
      <w:bookmarkStart w:id="174" w:name="_Toc232024671"/>
      <w:r>
        <w:t>D.1 · Post-Session Items</w:t>
      </w:r>
      <w:bookmarkEnd w:id="174"/>
    </w:p>
    <w:p w14:paraId="072B922F" w14:textId="77777777" w:rsidR="0062437E" w:rsidRDefault="00000000">
      <w:pPr>
        <w:jc w:val="both"/>
      </w:pPr>
      <w:r>
        <w:t>Item D1 · Coordination endorsement: I would describe the activity I just completed as a coordination and balance challenge.</w:t>
      </w:r>
    </w:p>
    <w:p w14:paraId="2D93C255" w14:textId="77777777" w:rsidR="0062437E" w:rsidRDefault="00000000">
      <w:pPr>
        <w:jc w:val="both"/>
      </w:pPr>
      <w:r>
        <w:t>Item D2 · Commitment intention: I would be willing to come back and do this activity on a regular basis (one or more times per week) over the next three months.</w:t>
      </w:r>
    </w:p>
    <w:p w14:paraId="189305A2" w14:textId="77777777" w:rsidR="0062437E" w:rsidRDefault="00000000">
      <w:pPr>
        <w:pStyle w:val="Heading3"/>
      </w:pPr>
      <w:bookmarkStart w:id="175" w:name="_Toc232024672"/>
      <w:r>
        <w:t>D.2 · Demographic Block (At Enrolment)</w:t>
      </w:r>
      <w:bookmarkEnd w:id="175"/>
    </w:p>
    <w:p w14:paraId="5B4BC7A8" w14:textId="77777777" w:rsidR="0062437E" w:rsidRDefault="00000000">
      <w:pPr>
        <w:jc w:val="both"/>
      </w:pPr>
      <w:r>
        <w:t>Age band: 25–44, 45–64, 65–80.</w:t>
      </w:r>
    </w:p>
    <w:p w14:paraId="05374D87" w14:textId="77777777" w:rsidR="0062437E" w:rsidRDefault="00000000">
      <w:pPr>
        <w:jc w:val="both"/>
      </w:pPr>
      <w:r>
        <w:t>Gender: Male, Female, Prefer not to say.</w:t>
      </w:r>
    </w:p>
    <w:p w14:paraId="35A5F12F" w14:textId="77777777" w:rsidR="0062437E" w:rsidRDefault="00000000">
      <w:pPr>
        <w:jc w:val="both"/>
      </w:pPr>
      <w:r>
        <w:t>Highest completed education: Primary, Secondary, Tertiary.</w:t>
      </w:r>
    </w:p>
    <w:p w14:paraId="3A227A4E" w14:textId="77777777" w:rsidR="0062437E" w:rsidRDefault="00000000">
      <w:pPr>
        <w:pStyle w:val="AuthorAction"/>
        <w:jc w:val="both"/>
      </w:pPr>
      <w:r>
        <w:rPr>
          <w:i w:val="0"/>
        </w:rPr>
        <w:t>(Verbatim wording and scale reliability to be inserted.)</w:t>
      </w:r>
    </w:p>
    <w:p w14:paraId="57BAE13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6" w:name="_Toc232024673"/>
      <w:r>
        <w:br w:type="page"/>
      </w:r>
    </w:p>
    <w:p w14:paraId="375E135B" w14:textId="77777777" w:rsidR="0062437E" w:rsidRDefault="00000000">
      <w:pPr>
        <w:pStyle w:val="Heading2"/>
      </w:pPr>
      <w:bookmarkEnd w:id="176"/>
      <w:r>
        <w:t>Appendix E · Five-Layer Architecture and Adaptive-Learning Reference Stack</w:t>
      </w:r>
    </w:p>
    <w:p w14:paraId="2F195BE2" w14:textId="77777777" w:rsidR="0062437E" w:rsidRDefault="00000000">
      <w:pPr>
        <w:jc w:val="both"/>
      </w:pPr>
      <w:r>
        <w:t>The Stage-2 deployment ran on a five-layer architecture that has been the operational platform for both the in-frame skiing game and the decoupled Stage-3 condition. The full adaptive-learning reference stack adds three further layers (L5 User-Facing Trajectory, L6 Staff Coaching Protocol, L7 Adaptive-Learning Telemetry) without altering the underlying signal path.</w:t>
      </w:r>
    </w:p>
    <w:p w14:paraId="7AE6AE10" w14:textId="77777777" w:rsidR="0062437E" w:rsidRDefault="00000000">
      <w:pPr>
        <w:pStyle w:val="Heading3"/>
      </w:pPr>
      <w:bookmarkStart w:id="177" w:name="_Toc232024674"/>
      <w:r>
        <w:t>E.1 · Layers L0–L4 (Stage-2 Operational)</w:t>
      </w:r>
      <w:bookmarkEnd w:id="177"/>
    </w:p>
    <w:p w14:paraId="7EB08828" w14:textId="77777777" w:rsidR="0062437E" w:rsidRDefault="00000000">
      <w:pPr>
        <w:jc w:val="both"/>
      </w:pPr>
      <w:r>
        <w:t>L0 · Input: InBody pressure-panel sensor stream; calibrated by InBody engineers; centre-of-pressure (COP) sampled at vendor-default rate.</w:t>
      </w:r>
    </w:p>
    <w:p w14:paraId="55645965" w14:textId="77777777" w:rsidR="0062437E" w:rsidRDefault="00000000">
      <w:pPr>
        <w:jc w:val="both"/>
      </w:pPr>
      <w:r>
        <w:t>L1 · Game Engine: Pygame-based skiing game; physics-driven obstacle and coin scheduling; difficulty parameters exposed through a single configuration object.</w:t>
      </w:r>
    </w:p>
    <w:p w14:paraId="05C66311" w14:textId="77777777" w:rsidR="0062437E" w:rsidRDefault="00000000">
      <w:pPr>
        <w:jc w:val="both"/>
      </w:pPr>
      <w: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14:paraId="26D341D1" w14:textId="77777777" w:rsidR="0062437E" w:rsidRDefault="00000000">
      <w:pPr>
        <w:jc w:val="both"/>
      </w:pPr>
      <w:r>
        <w:t>L3 · Logging: Per-session JSON event log including COP samples, level transitions, success/failure events, AI-call telemetry and timestamps.</w:t>
      </w:r>
    </w:p>
    <w:p w14:paraId="1190C313" w14:textId="77777777" w:rsidR="0062437E" w:rsidRDefault="00000000">
      <w:pPr>
        <w:jc w:val="both"/>
      </w:pPr>
      <w:r>
        <w:t>L4 · Clinical Output: Aggregated COP-derived balance index and category label, exposed to clinical staff but suppressed in the Stage-3 decoupled condition.</w:t>
      </w:r>
    </w:p>
    <w:p w14:paraId="799862B3" w14:textId="77777777" w:rsidR="0062437E" w:rsidRDefault="00000000">
      <w:pPr>
        <w:pStyle w:val="Heading3"/>
      </w:pPr>
      <w:bookmarkStart w:id="178" w:name="_Toc232024675"/>
      <w:bookmarkEnd w:id="178"/>
      <w:r>
        <w:t>E.2 · Layers L5–L7 (Adaptive-Learning Reference Stack)</w:t>
      </w:r>
    </w:p>
    <w:p w14:paraId="660F7312" w14:textId="77777777" w:rsidR="0062437E" w:rsidRDefault="00000000">
      <w:pPr>
        <w:jc w:val="both"/>
      </w:pPr>
      <w:r>
        <w:t>L5 · User-Facing Trajectory: Plain-language, learning-anchored progress display that frames the next session against the previous session's calibrated band, never against a clinical norm.</w:t>
      </w:r>
    </w:p>
    <w:p w14:paraId="79BE7817" w14:textId="77777777" w:rsidR="0062437E" w:rsidRDefault="00000000">
      <w:pPr>
        <w:jc w:val="both"/>
      </w:pPr>
      <w:r>
        <w:t>L6 · Staff Coaching Protocol: Standardised post-failure interaction script, triggered by L7 telemetry, designed to absorb the failure event into a learning-oriented reframe before the participant leaves the room.</w:t>
      </w:r>
    </w:p>
    <w:p w14:paraId="1B12028B" w14:textId="77777777" w:rsidR="0062437E" w:rsidRDefault="00000000">
      <w:pPr>
        <w:jc w:val="both"/>
      </w:pPr>
      <w:r>
        <w:t>L7 · Adaptive-Learning Telemetry: Real-time monitoring of risk indicators (consecutive failures, abrupt session abandonment, post-failure latency to next attempt); fires coaching triggers and updates trajectory parameters.</w:t>
      </w:r>
    </w:p>
    <w:p w14:paraId="1CF84F76" w14:textId="77777777" w:rsidR="0062437E" w:rsidRDefault="00000000">
      <w:pPr>
        <w:pStyle w:val="Heading3"/>
      </w:pPr>
      <w:bookmarkStart w:id="179" w:name="_Toc232024676"/>
      <w:r>
        <w:lastRenderedPageBreak/>
        <w:t>E.3 · AI Safety Provisions</w:t>
      </w:r>
      <w:bookmarkEnd w:id="179"/>
    </w:p>
    <w:p w14:paraId="7D0D27D9" w14:textId="77777777" w:rsidR="0062437E" w:rsidRDefault="00000000">
      <w:pPr>
        <w:jc w:val="both"/>
      </w:pPr>
      <w: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14:paraId="7CBEA2B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0" w:name="_Toc232024677"/>
      <w:r>
        <w:br w:type="page"/>
      </w:r>
    </w:p>
    <w:p w14:paraId="38747209" w14:textId="77777777" w:rsidR="0062437E" w:rsidRDefault="00000000">
      <w:pPr>
        <w:pStyle w:val="Heading2"/>
      </w:pPr>
      <w:r>
        <w:lastRenderedPageBreak/>
        <w:t>Appendix F · Glossary of Key Constructs</w:t>
      </w:r>
      <w:bookmarkEnd w:id="180"/>
    </w:p>
    <w:p w14:paraId="6647A859" w14:textId="77777777" w:rsidR="0062437E" w:rsidRDefault="00000000">
      <w:pPr>
        <w:jc w:val="both"/>
      </w:pPr>
      <w: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14:paraId="66123971" w14:textId="77777777" w:rsidR="0062437E" w:rsidRDefault="00000000">
            <w:r>
              <w:rPr>
                <w:b/>
                <w:sz w:val="20"/>
              </w:rPr>
              <w:t>Construct</w:t>
            </w:r>
          </w:p>
        </w:tc>
        <w:tc>
          <w:tcPr>
            <w:tcW w:w="5952" w:type="dxa"/>
          </w:tcPr>
          <w:p w14:paraId="64329F75" w14:textId="77777777" w:rsidR="0062437E" w:rsidRDefault="00000000">
            <w:r>
              <w:rPr>
                <w:b/>
                <w:sz w:val="20"/>
              </w:rPr>
              <w:t>Definition</w:t>
            </w:r>
          </w:p>
        </w:tc>
      </w:tr>
      <w:tr w:rsidR="0062437E" w14:paraId="662CB726" w14:textId="77777777" w:rsidTr="00FD5D21">
        <w:trPr>
          <w:jc w:val="center"/>
        </w:trPr>
        <w:tc>
          <w:tcPr>
            <w:tcW w:w="2552" w:type="dxa"/>
          </w:tcPr>
          <w:p w14:paraId="24C007E9" w14:textId="77777777" w:rsidR="0062437E" w:rsidRDefault="00000000">
            <w:r>
              <w:rPr>
                <w:sz w:val="20"/>
              </w:rPr>
              <w:t>FIDS</w:t>
            </w:r>
          </w:p>
        </w:tc>
        <w:tc>
          <w:tcPr>
            <w:tcW w:w="5952" w:type="dxa"/>
          </w:tcPr>
          <w:p w14:paraId="75FC2BE4" w14:textId="77777777" w:rsidR="00EE7E37" w:rsidRDefault="00000000">
            <w: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14:paraId="5C7B073E" w14:textId="77777777" w:rsidR="0062437E" w:rsidRDefault="00000000">
            <w:r>
              <w:rPr>
                <w:sz w:val="20"/>
              </w:rPr>
              <w:t>FIAS</w:t>
            </w:r>
          </w:p>
        </w:tc>
        <w:tc>
          <w:tcPr>
            <w:tcW w:w="5952" w:type="dxa"/>
          </w:tcPr>
          <w:p w14:paraId="76D1B893" w14:textId="77777777" w:rsidR="00EE7E37" w:rsidRDefault="00000000">
            <w: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14:paraId="1226C686" w14:textId="77777777" w:rsidR="00EE7E37" w:rsidRDefault="00000000">
            <w:r>
              <w:t>Objective-Score-Improvement/Non-Return Paradox</w:t>
            </w:r>
          </w:p>
        </w:tc>
        <w:tc>
          <w:tcPr>
            <w:tcW w:w="5952" w:type="dxa"/>
          </w:tcPr>
          <w:p w14:paraId="749AB939" w14:textId="77777777" w:rsidR="00EE7E37" w:rsidRDefault="00000000">
            <w: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14:paraId="74E80FDF" w14:textId="77777777" w:rsidR="0062437E" w:rsidRDefault="00000000">
            <w:r>
              <w:rPr>
                <w:sz w:val="20"/>
              </w:rPr>
              <w:t>Decoupling</w:t>
            </w:r>
          </w:p>
        </w:tc>
        <w:tc>
          <w:tcPr>
            <w:tcW w:w="5952" w:type="dxa"/>
          </w:tcPr>
          <w:p w14:paraId="05B5C2A5" w14:textId="77777777" w:rsidR="00EE7E37" w:rsidRDefault="00000000">
            <w: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14:paraId="6F824929" w14:textId="77777777" w:rsidR="0062437E" w:rsidRDefault="00000000">
            <w:r>
              <w:rPr>
                <w:sz w:val="20"/>
              </w:rPr>
              <w:t>Mental Accounting of Health Outcomes</w:t>
            </w:r>
          </w:p>
        </w:tc>
        <w:tc>
          <w:tcPr>
            <w:tcW w:w="5952" w:type="dxa"/>
          </w:tcPr>
          <w:p w14:paraId="743DA9F2" w14:textId="77777777" w:rsidR="00EE7E37" w:rsidRDefault="00000000">
            <w: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14:paraId="29F09BAB" w14:textId="77777777" w:rsidR="0062437E" w:rsidRDefault="00000000">
            <w:r>
              <w:rPr>
                <w:sz w:val="20"/>
              </w:rPr>
              <w:t>Frame-Suppression</w:t>
            </w:r>
          </w:p>
        </w:tc>
        <w:tc>
          <w:tcPr>
            <w:tcW w:w="5952" w:type="dxa"/>
          </w:tcPr>
          <w:p w14:paraId="0E90BF86" w14:textId="77777777" w:rsidR="00EE7E37" w:rsidRDefault="00000000">
            <w: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14:paraId="20C1D5CD" w14:textId="77777777" w:rsidR="0062437E" w:rsidRDefault="00000000">
            <w:r>
              <w:rPr>
                <w:sz w:val="20"/>
              </w:rPr>
              <w:lastRenderedPageBreak/>
              <w:t>Commitment Gap</w:t>
            </w:r>
          </w:p>
        </w:tc>
        <w:tc>
          <w:tcPr>
            <w:tcW w:w="5952" w:type="dxa"/>
          </w:tcPr>
          <w:p w14:paraId="4733DEDB" w14:textId="77777777" w:rsidR="00EE7E37" w:rsidRDefault="00000000">
            <w:r>
              <w:t>The 29.3-percentage-point difference in the 65-80 band between observed session retention (85.4%) and stated regular-use intention (56.1%). It is descriptive and does not identify a single cause.</w:t>
            </w:r>
          </w:p>
        </w:tc>
      </w:tr>
      <w:tr w:rsidR="0062437E" w14:paraId="291D7747" w14:textId="77777777" w:rsidTr="00FD5D21">
        <w:trPr>
          <w:jc w:val="center"/>
        </w:trPr>
        <w:tc>
          <w:tcPr>
            <w:tcW w:w="2552" w:type="dxa"/>
          </w:tcPr>
          <w:p>
            <w:r>
              <w:t>Adaptive-Learning Framework</w:t>
            </w:r>
          </w:p>
        </w:tc>
        <w:tc>
          <w:tcPr>
            <w:tcW w:w="5952" w:type="dxa"/>
          </w:tcPr>
          <w:p w14:paraId="16D5F4CF" w14:textId="77777777" w:rsidR="00EE7E37" w:rsidRDefault="00000000">
            <w: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14:paraId="6A759C9B" w14:textId="77777777" w:rsidR="0062437E" w:rsidRDefault="00000000">
            <w:r>
              <w:rPr>
                <w:sz w:val="20"/>
              </w:rPr>
              <w:t>Entropy Constraint</w:t>
            </w:r>
          </w:p>
        </w:tc>
        <w:tc>
          <w:tcPr>
            <w:tcW w:w="5952" w:type="dxa"/>
          </w:tcPr>
          <w:p w14:paraId="3D05E0E4" w14:textId="77777777" w:rsidR="00EE7E37" w:rsidRDefault="00000000">
            <w: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14:paraId="56C13AEE" w14:textId="77777777" w:rsidR="0062437E" w:rsidRDefault="00000000">
            <w:r>
              <w:rPr>
                <w:sz w:val="20"/>
              </w:rPr>
              <w:t>M0 / M1 / M2</w:t>
            </w:r>
          </w:p>
        </w:tc>
        <w:tc>
          <w:tcPr>
            <w:tcW w:w="5952" w:type="dxa"/>
          </w:tcPr>
          <w:p w14:paraId="4DFE94F3" w14:textId="77777777" w:rsidR="0062437E" w:rsidRDefault="00000000">
            <w:r>
              <w:rPr>
                <w:sz w:val="20"/>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14:paraId="6B2EF64C" w14:textId="77777777" w:rsidR="0062437E" w:rsidRDefault="00000000">
            <w:r>
              <w:rPr>
                <w:sz w:val="20"/>
              </w:rPr>
              <w:t>Decision-Curve Analysis</w:t>
            </w:r>
          </w:p>
        </w:tc>
        <w:tc>
          <w:tcPr>
            <w:tcW w:w="5952" w:type="dxa"/>
          </w:tcPr>
          <w:p w14:paraId="03ABAF75" w14:textId="77777777" w:rsidR="0062437E" w:rsidRDefault="00000000">
            <w:r>
              <w:rPr>
                <w:sz w:val="20"/>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14:paraId="2692F1FA" w14:textId="77777777" w:rsidR="0062437E" w:rsidRDefault="00000000">
            <w:r>
              <w:rPr>
                <w:sz w:val="20"/>
              </w:rPr>
              <w:t>Adaptive Learning</w:t>
            </w:r>
          </w:p>
        </w:tc>
        <w:tc>
          <w:tcPr>
            <w:tcW w:w="5952" w:type="dxa"/>
          </w:tcPr>
          <w:p w14:paraId="6E59C2FB" w14:textId="77777777" w:rsidR="00EE7E37" w:rsidRDefault="00000000">
            <w:r>
              <w:t>A proposed design regime that combines trajectory-oriented feedback with calibrated challenge, pacing and support. It is hypothesised to reduce the dominance of fixed-verdict appraisal; structural incompatibility with endowment was not empirically tested.</w:t>
            </w:r>
          </w:p>
        </w:tc>
      </w:tr>
    </w:tbl>
    <w:p w14:paraId="27351A7E" w14:textId="77777777" w:rsidR="0062437E" w:rsidRDefault="0062437E">
      <w:pPr>
        <w:spacing w:after="40"/>
      </w:pPr>
    </w:p>
    <w:p w14:paraId="3B460FB7"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1" w:name="_Toc232024678"/>
      <w:r>
        <w:br w:type="page"/>
      </w:r>
    </w:p>
    <w:p w14:paraId="09D5C550" w14:textId="77777777" w:rsidR="0062437E" w:rsidRDefault="00000000">
      <w:pPr>
        <w:pStyle w:val="Heading2"/>
      </w:pPr>
      <w:r>
        <w:lastRenderedPageBreak/>
        <w:t>Appendix G · Raw Data, Photographs and Supplementary Materials</w:t>
      </w:r>
      <w:bookmarkEnd w:id="181"/>
    </w:p>
    <w:p w14:paraId="68FF3BC4" w14:textId="77777777" w:rsidR="0062437E" w:rsidRDefault="00000000">
      <w:pPr>
        <w:pStyle w:val="AuthorAction"/>
        <w:jc w:val="both"/>
      </w:pPr>
      <w: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r>
        <w:rPr>
          <w:i w:val="0"/>
        </w:rPr>
        <w:t>G.1  Cleaned Stage-1 survey response file (CSV). (File to be attached.)</w:t>
      </w:r>
    </w:p>
    <w:p>
      <w:r>
        <w:rPr>
          <w:i w:val="0"/>
        </w:rPr>
        <w:t>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(Session-level telemetry to be attached if retained; otherwise noted in §8.9.)</w:t>
      </w:r>
    </w:p>
    <w:p>
      <w:r>
        <w:t>G.3  Stage-3 data logbook (Stage3_Data_Logbook_120cases_with_Reconciliation.xlsx): codebook with provenance note, participant/telemetry/questionnaire/outcome sheets for IDs 3001–3120, the preliminary aggregate results (Preliminary_Summary sheet) and a live Reconciliation sheet. Stage-3 data collection is complete; participant-level entries are transcribed from the primary records (paper questionnaires, staff session logs and terminal exports), with each entry checked by the reconciliation sheet. (Full participant-level analysis in progress.)</w:t>
      </w:r>
    </w:p>
    <w:p>
      <w:r>
        <w:t xml:space="preserve">G.4  Photographs of the Guangzhou Stage-2 deployment (consented). </w:t>
      </w:r>
      <w:r>
        <w:rPr>
          <w:b/>
          <w:highlight w:val="green"/>
        </w:rPr>
        <w:t>[INSERT PHOTOGRAPHS HERE — Stage-2 deployment: the FRA station in situ and participants playing the skiing game; written consent on record, faces obscured where required]</w:t>
      </w:r>
    </w:p>
    <w:p>
      <w:r>
        <w:t xml:space="preserve">G.5  Photographs of the Hong Kong Stage-3 deployment (consented). </w:t>
      </w:r>
      <w:r>
        <w:rPr>
          <w:b/>
          <w:highlight w:val="green"/>
        </w:rPr>
        <w:t>[INSERT PHOTOGRAPHS HERE — Stage-3 community deployment]</w:t>
      </w:r>
    </w:p>
    <w:p>
      <w:r>
        <w:t xml:space="preserve">G.6  Screenshots of the skiing game at each difficulty level (1–5). </w:t>
      </w:r>
      <w:r>
        <w:rPr>
          <w:b/>
          <w:highlight w:val="green"/>
        </w:rPr>
        <w:t>[INSERT SCREENSHOTS HERE — one per difficulty level, taken from the deployed Stage-2 build]</w:t>
      </w:r>
    </w:p>
    <w:p>
      <w:r>
        <w:rPr>
          <w:i w:val="0"/>
        </w:rPr>
        <w:t>G.7  AI prompt-template archive used in Layer 2 (system and user prompts, versions and settings). (Archive to be attached.)</w:t>
      </w:r>
    </w:p>
    <w:p>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Submission Draft v17</dc:title>
  <dc:subject>EngD thesis revised following academic methodological review</dc:subject>
  <dc:creator>python-docx</dc:creator>
  <cp:keywords/>
  <dc:description>Submission draft v17 (19 Jul 2026). Reviewer amendments: AI tooling repositioned as enabling technology; engineer-tone verb pass; new 7.5A unifies FIAS / adaptive-learning framework / dynamic game-state engine as one architecture.</dc:description>
  <cp:lastModifiedBy>TAM, Sidney [Student]</cp:lastModifiedBy>
  <cp:revision>6</cp:revision>
  <cp:lastPrinted>2026-07-11T05:43:00Z</cp:lastPrinted>
  <dcterms:created xsi:type="dcterms:W3CDTF">2026-07-03T09:50:00Z</dcterms:created>
  <dcterms:modified xsi:type="dcterms:W3CDTF">2026-07-11T10:34:00Z</dcterms:modified>
  <cp:category/>
</cp:coreProperties>
</file>