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pPr>
        <w:pStyle w:val="TOC2"/>
      </w:pPr>
      <w:r>
        <w:t>6.8A The Commitment Gap Read Through Group Dynamics: An Expert Consultation</w:t>
        <w:tab/>
        <w:t>59</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pPr>
        <w:pStyle w:val="TOC2"/>
      </w:pPr>
      <w:r>
        <w:t>Appendix H · Expert Consultation Record</w:t>
        <w:tab/>
        <w:t>112</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pPr>
        <w:pStyle w:val="TOC1"/>
      </w:pPr>
      <w:r>
        <w:t>Figure 4.1B. The FRA balance station as deployed in the rehabilitation room of the Guangzhou facility.</w:t>
        <w:tab/>
        <w:t>36</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pPr>
        <w:pStyle w:val="TOC1"/>
      </w:pPr>
      <w:r>
        <w:t>Figure 5.1A. The platform-game coupling demonstrated by a control person (development office, August 2024).</w:t>
        <w:tab/>
        <w:t>40</w:t>
      </w:r>
    </w:p>
    <w:p>
      <w:pPr>
        <w:pStyle w:val="TOC1"/>
      </w:pPr>
      <w:r>
        <w:t>Figure 5.1B. The deployed game artefact across difficulty levels 1–5 (screenshots from the archived game build).</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provisional FIAS composite scores across all 30 participants. The composite includes engagement-outcome attributes, so the separation of the F4 cluster is expected by construction; the figure is descriptive case identification, not evidence (§5.6).</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drawing>
          <wp:inline xmlns:a="http://schemas.openxmlformats.org/drawingml/2006/main" xmlns:pic="http://schemas.openxmlformats.org/drawingml/2006/pictur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drawing>
          <wp:inline xmlns:a="http://schemas.openxmlformats.org/drawingml/2006/main" xmlns:pic="http://schemas.openxmlformats.org/drawingml/2006/pictur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r>
        <w:drawing>
          <wp:inline xmlns:a="http://schemas.openxmlformats.org/drawingml/2006/main" xmlns:pic="http://schemas.openxmlformats.org/drawingml/2006/pictur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14:paraId="09577253" w14:textId="77777777" w:rsidR="0062437E" w:rsidRDefault="00000000">
      <w:pPr>
        <w:jc w:val="both"/>
      </w:pPr>
      <w: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t>Stage-3 data collection is complete. The participant-level records — paper questionnaires, staff session logs and terminal exports — are held in the study archive and support participant-level analysis beyond the preliminary aggregates reported in this chapter. Chapter 6 reports the preliminary aggregate record. The data logbook (Appendix G, item G.3) holds the preliminary aggregate results and a reconciliation sheet whose live formulas recompute every preliminary indicator from the participant-level entries, so any subsequent participant-level analysis can be verified against the preliminary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pPr>
        <w:pStyle w:val="Heading2"/>
      </w:pPr>
      <w:r>
        <w:t>6.8A The Commitment Gap Read Through Group Dynamics: An Expert Consultation</w:t>
      </w:r>
    </w:p>
    <w:p>
      <w: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preliminary aggregate record;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preliminary aggregate results have been compiled, and the participant-level records support analysis beyond them.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are consistent with gamification theory remaining applicable to elderly engagement. Stage 3 functioned as the programme's positive control (§6.1): the same apparatus and mechanics, decoupled from the clinical attachment,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Each appendix identifies its bound materials and, where an item is held rather than printed, the record in which it is held.</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 Outcome-linked attributes are flagged as such in the codebook; per §5.6 the composite is a descriptive case-identification device and carries no evidential weight.</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w:t>
      </w:r>
    </w:p>
    <w:p>
      <w:r>
        <w:t>G.4  Photographs of the Guangzhou Stage-2 deployment (consented).</w:t>
      </w:r>
    </w:p>
    <w:p>
      <w:r>
        <w:t>G.5  Photographs of the Hong Kong Stage-3 deployment (consented).</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V23: Figure 4.1B (FRA station photograph) inserted with LoF entry.</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