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This thesis sits within the EngD programme topic Gamification as a Proactive Approach for Continuous Improvement and Innovation Enhancement. It examines how gamified design, deployed proactively rather than as a remedial overlay, may address failure-associated non-return in an older-adult health-technology setting. Fall Risk Assessment (FRA) is used as the working case. The thesis advances a frame-sensitive account in which clinical or diagnostic presentation may alter the behavioural meaning of failure, and it develops adaptive, learning-oriented design as an engineering response for prospective testing. The behavioural-economic mechanisms proposed in the thesis - mental accounting of health outcomes, identity protection, loss aversion and stereotype threat - are treated as theoretically grounded inferences rather than as directly measured causal mechanisms.</w:t>
      </w:r>
    </w:p>
    <w:p w14:paraId="4BEDA2C7" w14:textId="77777777" w:rsidR="0062437E" w:rsidRDefault="00000000">
      <w:pPr>
        <w:jc w:val="both"/>
      </w:pPr>
      <w:r>
        <w:t>Stage 1 used a face-to-face survey with approximately 200 residents at a large elderly housing facility in Guangzhou. Thirty-nine per cent reported prior FRA use; among prior users, approximately 74% reported an adverse, unacceptable or unsuccessful first experience as operationalised in the study records, and approximately 82% reported no subsequent return. Because the reproduced six-item instrument does not by itself resolve every meaning of "failure", the Stage-1 result is interpreted as a descriptive association between an adverse first experience and self-reported non-return. Stage 2 prospectively examined the pattern in an eight-week action-research study with thirty residents using a dual-purpose AI-assisted skiing game on the InBody pressure panel. Within the archived Stage-2 dataset, twenty-one of thirty participants (70.0%) disengaged at or before three game cycles, eight after a single session, and no re-engagement was observed within the study window. Among the nine sustained participants the recorded FRA index changed by +6.9 points on average (paired dz = 2.22, 95% CI 0.95–3.46); across all thirty participants the paired change was +4.0 points (dz = 0.42, 95% CI 0.05–0.79). Because the archived dataset contains no session timestamps, no time-to-event model is fitted; earlier survival-analysis framings have been withdrawn. A Quality Function Deployment (QFD) pipeline translates the empirical findings into prioritised game-design requirements. Three of six F4-cluster participants showed positive change in the recorded FRA index during their single session and did not return, producing an objective-score-improvement/non-return paradox. Stage 3 used a separate Hong Kong community cohort of 120 adults aged 25-80 and implemented a participant-facing decoupling package: clinical terminology, pre-session clinical procedures and participant-facing clinical outputs were removed while the same broad hardware, skiing mechanic, five-attempt rule and session length were retained. Observed non-return was 6.7% overall and 13.3% in the 65-80 band. Among 23 initial dropouts, 15 (65.2%) returned voluntarily; in the age-matched 65-80 band, 10 of 16 (62.5%) returned. Coordination-challenge endorsement reached 71.7% and is interpreted primarily as a manipulation check, while regular-use intention reached 63.3% overall.</w:t>
      </w:r>
    </w:p>
    <w:p w14:paraId="768A95F0" w14:textId="77777777" w:rsidR="0062437E" w:rsidRDefault="00000000">
      <w:pPr>
        <w:jc w:val="both"/>
      </w:pPr>
      <w:r>
        <w:lastRenderedPageBreak/>
        <w:t>Taken together, the findings are consistent with a coupling or framing account: when a gamified activity is presented as part of an artefact-based clinical assessment, failure may acquire identity-relevant meaning and be associated with non-return; under participant-facing decoupling in a separate cohort, post-failure return was substantially higher. The design does not isolate framing from every cohort, recruitment and contextual difference, so the evidence supports rather than proves the coupling account. The 35.6-percentage-point difference between in-session retention (86.7%) and regular-use intention (51.1%) in the 65-80 band is a descriptive commitment gap and does not identify a single mechanism. The thesis therefore proposes, rather than empirically confirms, a Learning-Oriented Design Framework (LODF) comprising identity disentanglement, trajectory installation and adaptive calibration. Endowment-protective appraisal and learning-trajectory appraisal are framed as competing interpretive regimes rather than mutually exclusive psychological states. The contributions are theoretical (FIAS as a provisional behavioural construct and a candidate frame-sensitive mechanism), methodological (the dual-purpose mechanic, theory-iterating action research, a between-cohort quasi-experimental decoupling comparison and commitment-gap measurement), empirical (convergent field evidence consistent with a frame-sensitive account, pending within-cohort confirmation), and practical (an engineering-actionable framework deployable on existing infrastructure and specified for future controlled evaluation).</w:t>
      </w:r>
    </w:p>
    <w:p w14:paraId="3DA71CBC" w14:textId="77777777" w:rsidR="0062437E" w:rsidRDefault="00000000">
      <w:pPr>
        <w:jc w:val="both"/>
      </w:pPr>
      <w:r>
        <w:t>Keywords: Gamification; continuous improvement; innovation enhancement; Fall Risk Assessment; elderly technology adoption; failure-induced abandonment; loss aversion; endowment effect; mental accounting; information entropy; adaptive learning; Learning-Oriented Design Framework.</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w:t>
      </w:r>
      <w:r>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and the Learning-Oriented Design Framework</w:t>
      </w:r>
      <w:r>
        <w:tab/>
        <w:t>64</w:t>
      </w:r>
    </w:p>
    <w:p w14:paraId="5427D174" w14:textId="77777777" w:rsidR="00FD5D21" w:rsidRDefault="00FD5D21">
      <w:pPr>
        <w:pStyle w:val="TOC2"/>
        <w:tabs>
          <w:tab w:val="right" w:leader="dot" w:pos="8495"/>
        </w:tabs>
        <w:rPr>
          <w:noProof/>
        </w:rPr>
      </w:pPr>
      <w:r>
        <w:t>7.1 Why the Empirical Programme Motivates Adaptive Learning</w:t>
      </w:r>
      <w:r>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The Learning-Oriented Design Framework (LODF)</w:t>
      </w:r>
      <w:r>
        <w:tab/>
        <w:t>65</w:t>
      </w:r>
    </w:p>
    <w:p w14:paraId="283DF193" w14:textId="77777777" w:rsidR="00FD5D21" w:rsidRDefault="00FD5D21">
      <w:pPr>
        <w:pStyle w:val="TOC2"/>
        <w:tabs>
          <w:tab w:val="right" w:leader="dot" w:pos="8495"/>
        </w:tabs>
        <w:rPr>
          <w:noProof/>
        </w:rPr>
      </w:pPr>
      <w:r>
        <w:t>7.5 Prototype Stack: Engineering-Actionable LODF Implementation</w:t>
      </w:r>
      <w:r>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LODF Reference Stack</w:t>
      </w:r>
      <w:r>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(LODF Reference Stack)</w:t>
      </w:r>
      <w:r>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r>
        <w:rPr>
          <w:b/>
          <w:highlight w:val="yellow"/>
        </w:rPr>
        <w:t>[NOTE TO AUTHOR: regenerate this list and its page numbers after inserting the photographs at the marked positions (Figures 4.1B, 5.1A, 5.1B, 5.3A, 6.0A). Figures 5.4 and 6.1 have been regenerated from the archived data and are embedded.]</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LODF design framework and the future-work programme.</w:t>
      </w:r>
      <w:r>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LODF reference stack: existing five-layer FRA architecture (L0–L4) extended with three additional layers (L5 User-Facing Trajectory; L6 Staff Coaching Protocol; L7 LODF Telemetry).</w:t>
      </w:r>
      <w:r>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w:t>
      </w:r>
      <w:r>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14:paraId="26EBE44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5.3. Stage-2 outcomes by motivational orientation.</w:t>
      </w:r>
      <w:r>
        <w:tab/>
        <w:t>49</w:t>
      </w:r>
    </w:p>
    <w:p>
      <w:pPr>
        <w:pStyle w:val="TOC1"/>
      </w:pPr>
      <w:r>
        <w:t>Table 5.4.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Table 7.1. LODF principles, function and empirical anchor.</w:t>
      </w:r>
      <w:r>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LODF reference stack (L0–L7) mapped to LODF principles.</w:t>
      </w:r>
      <w:r>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14:paraId="64D3F0A4" w14:textId="77777777" w:rsidR="0062437E" w:rsidRDefault="00000000">
            <w:r>
              <w:rPr>
                <w:sz w:val="20"/>
              </w:rP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LODF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LODF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 xml:space="preserve">Stage 3 was the programme's strongest empirical challenge to a purely dispositional explanation. By the close of Stage 2, FIAS had been specified as a provisional construct </w:t>
      </w:r>
      <w:r>
        <w:lastRenderedPageBreak/>
        <w:t>and a behavioural-economic mechanism had been proposed. What remained unresolved was whether the observed non-return pattern was primarily a property of the Guangzhou cohort, a property of the coupled clinical-game context, or a combination of both. A separate-cohort decoupling study could provide important directional evidence, but it could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consistent with frame suppression and inconsistent with the strongest form of a purely dispositional account. They do not rule out cohort self-selection, setting, recruitment, health-status, staff-interaction or observation-window differences. The comparison is therefore described as a between-cohort quasi-experimental decoupling study rather than a single-variable experiment. The residual 35.6-percentage-point difference in the 65-80 band between in-session retention and regular-use intention identifies a practical design problem that remains. Adaptive learning, formalised in Chapter 7 as LODF, is proposed as one theoretically grounded response among several candidates, including fatigue management, access support, shorter sessions and alternative coaching strategies.</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LODF.</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identify, name and characterise a pattern of failure-associated non-return to a gamified health technology among older adults, to examine whether participant-facing clinical framing may moderate that pattern, and to translate the resulting evidence into an engineering design framework that can be tested and deployed on existing infrastructure.</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Theoretically, it identifies failure-associated non-return as a post-contact problem not explicitly represented in standard acceptance and gamification models, integrates technology acceptance, gamification, self-efficacy and behavioural-economics literatures, and advances FIAS as a provisional frame-sensitive behavioural construct. Mental accounting, identity-level endowment, loss aversion and stereotype threat are proposed as candidate mechanisms and are not claimed to have been directly measured. Methodologically, the thesis introduces the dual-purpose mechanic, documents a Claude Code-assisted development workflow, uses theory-iterating action research with explicit revision points, conducts a between-cohort quasi-experimental participant-facing decoupling comparison, and measures the difference between in-session retention and stated regular-use intention. Empirically, it reports a strong association between first failure and observed dropout in Stage 2 and a substantial increase in post-failure return in the separate Stage-3 decoupled cohort, while explicitly retaining the need for within-cohort confirmation. Practically, it specifies the learn-to-earn philosophy and LODF as deployable engineering responses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lastRenderedPageBreak/>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LODF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Part I (Chapters 2 and 3) establishes the theoretical and methodological foundation. Chapter 2 develops a five-stage argument from technology acceptance and gamification through self-efficacy, behavioural economics and learning-oriented design, while distinguishing established literature from the thesis's candidate mechanisms. Chapter 3 specifies the action-research methodology, the analytical status of each stage and the limitations of the between-cohort comparison. Part II (Chapters 4, 5 and 6) reports the Stage-1 survey, the Stage-2 gamified FRA deployment and the Stage-3 participant-facing decoupling study. Part III (Chapters 7 and 8) develops LODF as an engineering framework, identifies its empirical anchors and untested components, and examines alternative explanations, limitations, ethics and reproducibility. Chapter 9 synthesises the findings using an explicit hierarchy of observed results, inferred mechanisms and proposed design responses, and sets out the controlled studies required for confirmation and generalisation.</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as a progressive theoretical argument rather than as a neutral inventory of literature. Each stage addresses a limitation left by the preceding stage. The progression does not imply that the later theoretical layers were directly measured in the present data. Instead, the literature is used to generate candidate explanations and design propositions whose evidential status is made explicit.</w:t>
      </w:r>
    </w:p>
    <w:p w14:paraId="7819B69E" w14:textId="77777777" w:rsidR="0062437E" w:rsidRDefault="00000000">
      <w:pPr>
        <w:jc w:val="both"/>
      </w:pPr>
      <w:r>
        <w:t>Stage one is the technology acceptance lineage. The Technology Acceptance Model (Davis, 1989), its extensions (TAM2, TAM3 and UTAUT) and the senior-specific Senior Technology Acceptance Model (Chen &amp; Chan, 2014) explain how older adults form intentions to use a new technology and what factors raise or lower those intentions. Stage two is gamification, anchored in Deterding et al. (2011) and developed through Chou's Octalysis Framework (2015). The combination of TAM, STAM and Octalysis was empirically demonstrated to lift elderly engagement in the work of An, Cheung and Willoughby (2024) and An, Cheung and Lo (2025); the demonstration is robust, but only outside the clinical health-technology context.</w:t>
      </w:r>
    </w:p>
    <w:p w14:paraId="0D7FB49A" w14:textId="77777777" w:rsidR="0062437E" w:rsidRDefault="00000000">
      <w:pPr>
        <w:jc w:val="both"/>
      </w:pPr>
      <w:r>
        <w:t>Stage three is the diagnostic layer that becomes necessary when the technology is attached to an artefact-based health system such as Fall Risk Assessment. Bandura's self-efficacy (1977; 1997) supplies the immediate cognitive mechanism for failure-induced disengagement, and the empirical literature on computer self-efficacy among older adults (Hawthorn, 2007; Broady, Chan &amp; Caputi, 2010; Tsai et al., 2020) maps the mechanism to the elderly cohort. Stage three explains dropout. It does not explain why the dropout becomes permanent.</w:t>
      </w:r>
    </w:p>
    <w:p w14:paraId="77402C51" w14:textId="77777777" w:rsidR="0062437E" w:rsidRDefault="00000000">
      <w:pPr>
        <w:jc w:val="both"/>
      </w:pPr>
      <w:r>
        <w:t>Stage four introduces a behavioural-economics account of why some exits may become difficult to reverse. Loss aversion (Kahneman &amp; Tversky, 1979), identity-relevant endowment, mental accounting and stereotype threat are integrated as a candidate mechanism for FIAS. This integration is a theoretical contribution of the thesis, but the individual operators were not directly measured in the three empirical stages. The behavioural evidence is therefore described as consistent with the mechanism rather than as verification of it.</w:t>
      </w:r>
    </w:p>
    <w:p w14:paraId="73F11E5A" w14:textId="77777777" w:rsidR="0062437E" w:rsidRDefault="00000000">
      <w:pPr>
        <w:jc w:val="both"/>
      </w:pPr>
      <w:r>
        <w:lastRenderedPageBreak/>
        <w:t>Stage five develops the design response. Productive failure and adaptive learning suggest a regime in which performance is interpreted as information about an evolving trajectory rather than as a fixed verdict. The thesis proposes that such a regime may reduce the dominance of an endowment-protective appraisal. Participant-facing decoupling is the empirical intervention examined in Stage 3; the complete adaptive-learning framework is a prospective engineering proposition rather than an intervention already validated by Stage 3.</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Failure-Induced Abandonment Syndrome describes a state in which intention has collapsed and stayed collapsed. STAM does not contain a construct for the moment of failure that produces the collapse. Empirically, the Stage-2 outcomes documented in Chapter 5 are not predictable from STAM baseline scores alone. Stage one of the transformative chain is therefore well established in the literature but boundary-marked by the same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Self-efficacy can explain reduced persistence after difficulty and also allows recovery. The Stage-2 data show observed non-return within a defined study window, not an empirically established irreversible state. Behavioural economics is therefore introduced as an additional candidate explanatory layer for the apparent finality of some exits. The following subsections develop that account and specify what future measurement would be required to test it.</w:t>
      </w:r>
    </w:p>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LODF.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 xml:space="preserve">Adaptive learning is not a single technique but a convergence of four established traditions, and naming them explicitly matters because it fixes what the LODF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w:t>
      </w:r>
      <w:r>
        <w:lastRenderedPageBreak/>
        <w:t>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 xml:space="preserve">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t>
      </w:r>
      <w:r>
        <w:lastRenderedPageBreak/>
        <w:t>with substantially greater post-failure return. Adaptive learning and LODF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engagement with related FRA technology. The comparison is a benchmark rather than a causal explanation, and the cited studies should be checked carefully for exact protocol, population and retention definitions before final binding. The possibility that some implementations already incorporate supportive framing or adaptive coaching is a hypothesis for comparative fieldwork, not an inference that can be made from retention figures alone.</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five stages compose a calibrated argument. Stage one establishes the acceptance-model baseline. Stage two shows how gamification can support engagement while also identifying context-sensitive risks. Stage three uses self-efficacy to explain why difficulty may reduce persistence. Stage four integrates loss aversion, identity-relevant endowment, mental accounting and stereotype threat as a candidate account of active non-return. Stage five translates the empirical and theoretical synthesis into two design propositions: participant-facing decoupling, for which Stage 3 provides between-cohort field evidence, and adaptive learning through LODF, which remains to be tested as a complete intervention.</w:t>
      </w:r>
    </w:p>
    <w:p w14:paraId="61B3764C" w14:textId="77777777" w:rsidR="0062437E" w:rsidRDefault="00000000">
      <w:pPr>
        <w:jc w:val="both"/>
      </w:pPr>
      <w:r>
        <w:t xml:space="preserve">Each stage is useful, but no stage is sufficient on its own. The intellectual contribution lies in connecting post-failure behaviour to frame-sensitive appraisal and in converting that connection into an engineering design programme. The empirical contribution is </w:t>
      </w:r>
      <w:r>
        <w:lastRenderedPageBreak/>
        <w:t>strongest for the association between first failure and observed dropout in Stage 2 and for the substantially higher post-failure return observed in the separate Stage-3 decoupled cohort. The mechanism and framework claims remain provisional and are stated in a form that can be falsified by direct measurement and within-cohort randomised comparison.</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t>The programme adopts action research (Lewin, 1946; Stringer, 2014; Reason &amp; Bradbury, 2008) and treats cycles of action, observation, reflection and design revision as part of the inquiry. The framework is appropriate to an EngD study because the artefact and the theoretical interpretation evolved in response to field observations. The revisions are documented as changes in working explanation: from FIDS toward the provisional FIAS construct after Stage 1 and Stage 2; from a predominantly dispositional account toward a frame-sensitive account after Stage 3; and from decoupling alone toward LODF as a proposed design programme. These revisions are not equivalent to independent confirmation of the underlying psychological mechanisms.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was administered face-to-face by nursing staff. The final thesis must report one exact participant flow and denominator consistently; current working text contains both approximately 200 and approximately 280 and therefore requires author verification against the archived survey log.</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The primary analytical contribution was prospective characterisation of engagement, failure events and observed non-return within the study window.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t xml:space="preserve">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w:t>
      </w:r>
      <w:r>
        <w:lastRenderedPageBreak/>
        <w:t>combined association of the decoupled condition and its context with behaviour; it does not isolate a single causal variable.</w:t>
      </w:r>
    </w:p>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Figure 3.1 summarises the programme as a sequence of empirical stages and theoretical revisions. The figure should be read as an action-research logic model rather than as a single causal experiment. Stage 1 is descriptive and hypothesis-generating; Stage 2 is prospective and mechanism-generating; Stage 3 is quasi-experimental and challenges a purely dispositional explanation; Chapter 7 translates the combined evidence into a design framework for future controlled testing.</w:t>
      </w:r>
    </w:p>
    <w:p w14:paraId="392B12E8" w14:textId="77777777" w:rsidR="0062437E" w:rsidRDefault="00000000">
      <w:pPr>
        <w:keepNext/>
        <w:spacing w:before="160" w:after="40"/>
        <w:jc w:val="center"/>
      </w:pPr>
      <w:r>
        <w:rPr>
          <w:noProof/>
        </w:rPr>
        <w:drawing>
          <wp:anchor distT="0" distB="0" distL="114300" distR="114300" simplePos="0" relativeHeight="251658240" behindDoc="0" locked="0" layoutInCell="1" allowOverlap="1" wp14:anchorId="7754B632" wp14:editId="6ED53378">
            <wp:simplePos x="0" y="0"/>
            <wp:positionH relativeFrom="column">
              <wp:posOffset>-687705</wp:posOffset>
            </wp:positionH>
            <wp:positionV relativeFrom="paragraph">
              <wp:posOffset>22860</wp:posOffset>
            </wp:positionV>
            <wp:extent cx="6443345" cy="32810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rotWithShape="1">
                    <a:blip r:embed="rId9"/>
                    <a:srcRect b="12216"/>
                    <a:stretch>
                      <a:fillRect/>
                    </a:stretch>
                  </pic:blipFill>
                  <pic:spPr bwMode="auto">
                    <a:xfrm>
                      <a:off x="0" y="0"/>
                      <a:ext cx="6443345" cy="3281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11F34" w14:textId="77777777" w:rsidR="0062437E" w:rsidRDefault="00000000">
      <w:pPr>
        <w:pStyle w:val="FigureCaption"/>
        <w:jc w:val="center"/>
      </w:pPr>
      <w:r>
        <w:t>Figure 3.1. Three-stage action research programme. Each stage produces an empirical output and a theoretical revision; the three stages converge on the proposed LODF design framework and the future-work programme. The labels in the diagram are programme-logic shorthand: 'clinical benefit paradox' denotes the observed score-improvement/non-return pattern, while 'adaptive learning' denotes a proposed design response rather than a directly measured mechanism.</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w:t>
      </w:r>
      <w:r>
        <w:rPr>
          <w:b/>
          <w:highlight w:val="yellow"/>
        </w:rPr>
        <w:t>[AUTHOR INPUT REQUIRED: insert the HSESC approval reference number and date; state which stages and amendments the approval covered; and confirm whether the Stage-3 frame-manipulation and recruitment wording were reviewed and approved]</w:t>
      </w:r>
      <w:r>
        <w:t>. Chapter 8 (§8.7) addresses vulnerability, disclosure, autonomy and the ethical boundary between participant-facing reframing and deception.</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The programme advances the hypothesis that learning-trajectory appraisal may reduce the dominance of an endowment-protective interpretation of failure. The present stages support this hypothesis indirectly through behavioural patterns; they do not measure the proposed mechanism or test the complete LODF.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t>Interpretive rule for the remainder of the thesis: observed results are reported as observations; mental accounting, endowment, stereotype threat and entropy are candidate explanations; LODF and environment-grounded adaptation are proposed engineering responses. This hierarchy is maintained so that the thesis's originality does not depend on overstating causal certainty.</w:t>
      </w:r>
    </w:p>
    <w:p w14:paraId="34DA1CE0" w14:textId="77777777" w:rsidR="0062437E" w:rsidRDefault="00000000">
      <w:pPr>
        <w:pStyle w:val="Heading1"/>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two purposes. The first was to characterise the utilisation and non-return problem at the Poly Group facility descriptively. The second was to examine whether TAM, STAM and Octalysis explicitly represent the post-contact event suggested by residents' reports, and to generate a theoretically grounded construct for prospective investigation. Stage 1 was not designed to validate FIAS or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rPr>
          <w:noProof/>
        </w:rPr>
        <w:drawing>
          <wp:inline distT="0" distB="0" distL="0" distR="0" wp14:anchorId="034C8673" wp14:editId="0B3636CC">
            <wp:extent cx="5611493" cy="32559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0"/>
                    <a:stretch>
                      <a:fillRect/>
                    </a:stretch>
                  </pic:blipFill>
                  <pic:spPr>
                    <a:xfrm>
                      <a:off x="0" y="0"/>
                      <a:ext cx="5636431" cy="3270418"/>
                    </a:xfrm>
                    <a:prstGeom prst="rect">
                      <a:avLst/>
                    </a:prstGeom>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b/>
          <w:highlight w:val="green"/>
        </w:rPr>
        <w:t>[INSERT PHOTOGRAPH HERE — Figure 4.1B: the FRA machine]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 xml:space="preserve">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Current working text elsewhere refers to approximately 280 participants and to a separate TAM-based multiple-choice block; those references must be reconciled against the archived </w:t>
      </w:r>
      <w:r>
        <w:lastRenderedPageBreak/>
        <w:t>instrument and participant log before final binding. Only results with a traceable item, wording, denominator and data source should remain in Table 4.1.</w:t>
      </w:r>
    </w:p>
    <w:p w14:paraId="4CE718EE" w14:textId="77777777" w:rsidR="0062437E" w:rsidRDefault="00000000">
      <w:pPr>
        <w:pStyle w:val="Heading2"/>
      </w:pPr>
      <w:bookmarkStart w:id="56" w:name="_Toc232024556"/>
      <w:r>
        <w:t>4.2 The Guangzhou Survey (N ≈ 200)</w:t>
      </w:r>
      <w:bookmarkEnd w:id="56"/>
    </w:p>
    <w:p w14:paraId="58B43063" w14:textId="77777777" w:rsidR="0062437E" w:rsidRDefault="00000000">
      <w:pPr>
        <w:jc w:val="both"/>
      </w:pPr>
      <w:r>
        <w:t>Six Yes/No items were administered face-to-face by nursing staff in July and August 2024 to residents aged 65-88 who met the stated eligibility criteria. The final thesis must replace the approximate sample size with the exact number approached, eligible, consenting and completing the instrument, together with item-level missingness. Face-to-face administration reduced literacy and digital-skill barriers but may also have introduced interviewer and social-desirability effects.</w:t>
      </w:r>
    </w:p>
    <w:p w14:paraId="13B11C36" w14:textId="77777777" w:rsidR="0062437E" w:rsidRDefault="00000000">
      <w:pPr>
        <w:pStyle w:val="TableCaption"/>
        <w:jc w:val="center"/>
      </w:pPr>
      <w:bookmarkStart w:id="57" w:name="_Toc232024694"/>
      <w:r>
        <w:t>Table 4.1. Stage-1 survey results (N ≈ 200 residents).</w:t>
      </w:r>
      <w:bookmarkEnd w:id="57"/>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highlight w:val="yellow"/>
        </w:rPr>
        <w:t>AUTHOR VERIFICATION REQUIRED BEFORE FINAL BINDING: reconcile N≈200 versus N≈280; confirm the exact wording and denominator behind the reported access and perceived-benefit estimates; and document how a negative response to "understood and accepted the result" was mapped to the term "failure". If no corresponding source items exist, revise Table 4.1 and all downstream claims accordingly.</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often operationalised through performance gains. For retired older adults, usefulness may involve safety, independence, confidence and quality of life rather than job performance. More importantly for this thesis, standard acceptance models emphasise beliefs and intentions before or during adoption and do not usually model a discrete post-contact failure event as a time-varying predictor of later non-return. The Stage-1 data suggest that such an event deserves explicit study;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Park et al. (2019) and Kim et al. (2018) reported that comparable Korean residential facilities using similar FRA technology achieved approximately 75% sustained engagement after introducing gamified balance exercises. The Korean comparison is a benchmark, not an explanation: the design lever that produces 75% retention in Korea has not been identified in the literature. The thesis's empirical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a documented utilisation and non-return problem signature, identifies a post-contact event that is not explicit in TAM, STAM or Octalysis, and generates the provisional FIAS construct and associated hypotheses. It does not validate FIAS, establish permanence, or identify mental accounting, endowment or stereotype threat as causal mechanisms. Those propositions are examined through prospective behaviour in Stage 2 and challenged through participant-facing decoupling in Stage 3.</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rPr>
          <w:noProof/>
        </w:rPr>
        <w:drawing>
          <wp:inline distT="0" distB="0" distL="0" distR="0" wp14:anchorId="7670B86A" wp14:editId="5D5FAF05">
            <wp:extent cx="5120640" cy="302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0.png"/>
                    <pic:cNvPicPr/>
                  </pic:nvPicPr>
                  <pic:blipFill>
                    <a:blip r:embed="rId11"/>
                    <a:stretch>
                      <a:fillRect/>
                    </a:stretch>
                  </pic:blipFill>
                  <pic:spPr>
                    <a:xfrm>
                      <a:off x="0" y="0"/>
                      <a:ext cx="5120640" cy="3021650"/>
                    </a:xfrm>
                    <a:prstGeom prst="rect">
                      <a:avLst/>
                    </a:prstGeom>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 xml:space="preserve">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w:t>
      </w:r>
      <w:r>
        <w:lastRenderedPageBreak/>
        <w:t>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LODF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b/>
          <w:highlight w:val="green"/>
        </w:rPr>
        <w:t>[INSERT PHOTOGRAPH HERE — Figure 5.1A: the play station]</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b/>
          <w:highlight w:val="green"/>
        </w:rPr>
        <w:t>[INSERT SCREENSHOTS HERE — Figure 5.1B: the game artefact]</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rPr>
          <w:noProof/>
        </w:rPr>
        <w:lastRenderedPageBreak/>
        <w:drawing>
          <wp:inline distT="0" distB="0" distL="0" distR="0" wp14:anchorId="4AB19B6A" wp14:editId="47C9D2D5">
            <wp:extent cx="4921878" cy="314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rotWithShape="1">
                    <a:blip r:embed="rId13"/>
                    <a:srcRect l="13797" r="2204" b="19356"/>
                    <a:stretch>
                      <a:fillRect/>
                    </a:stretch>
                  </pic:blipFill>
                  <pic:spPr bwMode="auto">
                    <a:xfrm>
                      <a:off x="0" y="0"/>
                      <a:ext cx="4967173" cy="3171359"/>
                    </a:xfrm>
                    <a:prstGeom prst="rect">
                      <a:avLst/>
                    </a:prstGeom>
                    <a:ln>
                      <a:noFill/>
                    </a:ln>
                    <a:extLst>
                      <a:ext uri="{53640926-AAD7-44D8-BBD7-CCE9431645EC}">
                        <a14:shadowObscured xmlns:a14="http://schemas.microsoft.com/office/drawing/2010/main"/>
                      </a:ext>
                    </a:extLs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rPr>
          <w:noProof/>
        </w:rPr>
        <w:drawing>
          <wp:inline distT="0" distB="0" distL="0" distR="0" wp14:anchorId="22206955" wp14:editId="6CE23062">
            <wp:extent cx="5629521" cy="2578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rotWithShape="1">
                    <a:blip r:embed="rId14"/>
                    <a:srcRect l="3546" t="7540" r="4573" b="22177"/>
                    <a:stretch>
                      <a:fillRect/>
                    </a:stretch>
                  </pic:blipFill>
                  <pic:spPr bwMode="auto">
                    <a:xfrm>
                      <a:off x="0" y="0"/>
                      <a:ext cx="5695568" cy="2608738"/>
                    </a:xfrm>
                    <a:prstGeom prst="rect">
                      <a:avLst/>
                    </a:prstGeom>
                    <a:ln>
                      <a:noFill/>
                    </a:ln>
                    <a:extLst>
                      <a:ext uri="{53640926-AAD7-44D8-BBD7-CCE9431645EC}">
                        <a14:shadowObscured xmlns:a14="http://schemas.microsoft.com/office/drawing/2010/main"/>
                      </a:ext>
                    </a:extLs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b/>
          <w:highlight w:val="green"/>
        </w:rPr>
        <w:t>[INSERT PHOTOGRAPH(S) HERE — Figure 5.3A: participants playing]</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Two interpretive constraints apply before any of these changes is read as improvement. </w:t>
      </w:r>
      <w:r>
        <w:rPr>
          <w:b/>
          <w:highlight w:val="yellow"/>
        </w:rPr>
        <w:t>[AUTHOR INPUT REQUIRED — index direction. The dataset legend supplied with the archive states that a lower FRA index indicates a higher performer, in which case the recorded increases would indicate deterioration, not improvement; the thesis narrative to date has assumed the opposite. Confirm the direction convention of the archived index against the InBody documentation and adjust the interpretive language in §5.5–§5.7, §6.6 and Chapter 9 accordingly.]</w:t>
      </w:r>
      <w:r>
        <w:t xml:space="preserve"> Second,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pStyle w:val="TableCaption"/>
        <w:jc w:val="center"/>
      </w:pPr>
      <w:bookmarkStart w:id="88" w:name="_Toc232024700"/>
      <w:r>
        <w:t>Table 5.3. Stage-2 outcomes by motivational orientation.</w:t>
      </w:r>
      <w:bookmarkEnd w:id="88"/>
    </w:p>
    <w:tbl>
      <w:tblPr>
        <w:tblStyle w:val="TableGrid"/>
        <w:tblW w:w="0" w:type="auto"/>
        <w:jc w:val="center"/>
        <w:tblLook w:val="04A0" w:firstRow="1" w:lastRow="0" w:firstColumn="1" w:lastColumn="0" w:noHBand="0" w:noVBand="1"/>
      </w:tblPr>
      <w:tblGrid>
        <w:gridCol w:w="2405"/>
        <w:gridCol w:w="1842"/>
        <w:gridCol w:w="2124"/>
        <w:gridCol w:w="2124"/>
      </w:tblGrid>
      <w:tr w:rsidR="0062437E" w14:paraId="4F6D0DDF" w14:textId="77777777" w:rsidTr="006D68FE">
        <w:trPr>
          <w:jc w:val="center"/>
        </w:trPr>
        <w:tc>
          <w:tcPr>
            <w:tcW w:w="2405" w:type="dxa"/>
          </w:tcPr>
          <w:p w14:paraId="6314C450" w14:textId="77777777" w:rsidR="0062437E" w:rsidRDefault="00000000">
            <w:r>
              <w:rPr>
                <w:b/>
                <w:sz w:val="20"/>
              </w:rPr>
              <w:t>Orientation</w:t>
            </w:r>
          </w:p>
        </w:tc>
        <w:tc>
          <w:tcPr>
            <w:tcW w:w="1842" w:type="dxa"/>
          </w:tcPr>
          <w:p w14:paraId="2EBC2FC5" w14:textId="77777777" w:rsidR="0062437E" w:rsidRDefault="00000000">
            <w:r>
              <w:rPr>
                <w:b/>
                <w:sz w:val="20"/>
              </w:rPr>
              <w:t>n</w:t>
            </w:r>
          </w:p>
        </w:tc>
        <w:tc>
          <w:tcPr>
            <w:tcW w:w="2124" w:type="dxa"/>
          </w:tcPr>
          <w:p w14:paraId="048151F7" w14:textId="77777777" w:rsidR="0062437E" w:rsidRDefault="00000000">
            <w:r>
              <w:rPr>
                <w:b/>
                <w:sz w:val="20"/>
              </w:rPr>
              <w:t>Sustained</w:t>
            </w:r>
          </w:p>
        </w:tc>
        <w:tc>
          <w:tcPr>
            <w:tcW w:w="2124" w:type="dxa"/>
          </w:tcPr>
          <w:p w14:paraId="70322973" w14:textId="77777777" w:rsidR="00EE7E37" w:rsidRDefault="00000000">
            <w:r>
              <w:t>Positive FRA-index change</w:t>
            </w:r>
          </w:p>
        </w:tc>
      </w:tr>
      <w:tr w:rsidR="0062437E" w14:paraId="115C0C1B" w14:textId="77777777" w:rsidTr="006D68FE">
        <w:trPr>
          <w:jc w:val="center"/>
        </w:trPr>
        <w:tc>
          <w:tcPr>
            <w:tcW w:w="2405" w:type="dxa"/>
          </w:tcPr>
          <w:p w14:paraId="25BA0FD6" w14:textId="77777777" w:rsidR="0062437E" w:rsidRDefault="00000000">
            <w:r>
              <w:rPr>
                <w:sz w:val="20"/>
              </w:rPr>
              <w:t>Learning-focused</w:t>
            </w:r>
          </w:p>
        </w:tc>
        <w:tc>
          <w:tcPr>
            <w:tcW w:w="1842" w:type="dxa"/>
          </w:tcPr>
          <w:p w14:paraId="6DFE46D4" w14:textId="77777777" w:rsidR="0062437E" w:rsidRDefault="00000000">
            <w:r>
              <w:rPr>
                <w:sz w:val="20"/>
              </w:rPr>
              <w:t>8</w:t>
            </w:r>
          </w:p>
        </w:tc>
        <w:tc>
          <w:tcPr>
            <w:tcW w:w="2124" w:type="dxa"/>
          </w:tcPr>
          <w:p w14:paraId="4EF014CC" w14:textId="77777777" w:rsidR="0062437E" w:rsidRDefault="00000000">
            <w:r>
              <w:rPr>
                <w:sz w:val="20"/>
              </w:rPr>
              <w:t>87.5%</w:t>
            </w:r>
          </w:p>
        </w:tc>
        <w:tc>
          <w:tcPr>
            <w:tcW w:w="2124" w:type="dxa"/>
          </w:tcPr>
          <w:p w14:paraId="6B5AB198" w14:textId="77777777" w:rsidR="0062437E" w:rsidRDefault="00000000">
            <w:r>
              <w:rPr>
                <w:sz w:val="20"/>
              </w:rPr>
              <w:t>85.7%</w:t>
            </w:r>
          </w:p>
        </w:tc>
      </w:tr>
      <w:tr w:rsidR="0062437E" w14:paraId="77AE0A3E" w14:textId="77777777" w:rsidTr="006D68FE">
        <w:trPr>
          <w:jc w:val="center"/>
        </w:trPr>
        <w:tc>
          <w:tcPr>
            <w:tcW w:w="2405" w:type="dxa"/>
          </w:tcPr>
          <w:p w14:paraId="13493344" w14:textId="77777777" w:rsidR="0062437E" w:rsidRDefault="00000000">
            <w:r>
              <w:rPr>
                <w:sz w:val="20"/>
              </w:rPr>
              <w:t>Health-deficit-focused</w:t>
            </w:r>
          </w:p>
        </w:tc>
        <w:tc>
          <w:tcPr>
            <w:tcW w:w="1842" w:type="dxa"/>
          </w:tcPr>
          <w:p w14:paraId="7A4067CE" w14:textId="77777777" w:rsidR="0062437E" w:rsidRDefault="00000000">
            <w:r>
              <w:rPr>
                <w:sz w:val="20"/>
              </w:rPr>
              <w:t>22</w:t>
            </w:r>
          </w:p>
        </w:tc>
        <w:tc>
          <w:tcPr>
            <w:tcW w:w="2124" w:type="dxa"/>
          </w:tcPr>
          <w:p w14:paraId="13DB3B35" w14:textId="77777777" w:rsidR="0062437E" w:rsidRDefault="00000000">
            <w:r>
              <w:rPr>
                <w:sz w:val="20"/>
              </w:rPr>
              <w:t>18.2%</w:t>
            </w:r>
          </w:p>
        </w:tc>
        <w:tc>
          <w:tcPr>
            <w:tcW w:w="2124" w:type="dxa"/>
          </w:tcPr>
          <w:p w14:paraId="5C7B0CFC" w14:textId="77777777" w:rsidR="0062437E" w:rsidRDefault="00000000">
            <w:r>
              <w:rPr>
                <w:sz w:val="20"/>
              </w:rPr>
              <w:t>50.0%</w:t>
            </w:r>
          </w:p>
        </w:tc>
      </w:tr>
    </w:tbl>
    <w:p w14:paraId="6ACBDF89" w14:textId="77777777" w:rsidR="0062437E" w:rsidRDefault="0062437E">
      <w:pPr>
        <w:pStyle w:val="AuthorAction"/>
        <w:spacing w:after="40"/>
      </w:pPr>
      <w:r>
        <w:rPr>
          <w:b/>
          <w:highlight w:val="yellow"/>
        </w:rPr>
        <w:t>[AUTHOR INPUT REQUIRED — Table 5.3 support. The week-2 motivational-orientation classification does not appear in the archived dataset, so the odds ratio of 31.5 cannot be reproduced from the data supplied. Either provide the coding records behind the classification (rubric, coders, inter-coder agreement, classification dates) or withdraw Table 5.3 and the odds ratio, and rely on the satisfaction association reported above, which is reproducible from the archive.]</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The direction convention of the index is under author confirmation (see §5.5).</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5.4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5.4.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rPr>
              <w:t>User need (voice of the user)</w:t>
            </w:r>
          </w:p>
        </w:tc>
        <w:tc>
          <w:tcPr>
            <w:tcW w:type="dxa" w:w="1215"/>
          </w:tcPr>
          <w:p>
            <w:r/>
            <w:r>
              <w:rPr>
                <w:b/>
              </w:rPr>
              <w:t>Evidence from the data</w:t>
            </w:r>
          </w:p>
        </w:tc>
        <w:tc>
          <w:tcPr>
            <w:tcW w:type="dxa" w:w="1215"/>
          </w:tcPr>
          <w:p>
            <w:r/>
            <w:r>
              <w:rPr>
                <w:b/>
              </w:rPr>
              <w:t>Construct</w:t>
            </w:r>
          </w:p>
        </w:tc>
        <w:tc>
          <w:tcPr>
            <w:tcW w:type="dxa" w:w="1215"/>
          </w:tcPr>
          <w:p>
            <w:r/>
            <w:r>
              <w:rPr>
                <w:b/>
              </w:rPr>
              <w:t>Adaptive difficulty (L2)</w:t>
            </w:r>
          </w:p>
        </w:tc>
        <w:tc>
          <w:tcPr>
            <w:tcW w:type="dxa" w:w="1215"/>
          </w:tcPr>
          <w:p>
            <w:r/>
            <w:r>
              <w:rPr>
                <w:b/>
              </w:rPr>
              <w:t>Loss-free states</w:t>
            </w:r>
          </w:p>
        </w:tc>
        <w:tc>
          <w:tcPr>
            <w:tcW w:type="dxa" w:w="1215"/>
          </w:tcPr>
          <w:p>
            <w:r/>
            <w:r>
              <w:rPr>
                <w:b/>
              </w:rPr>
              <w:t>Trajectory display (L5)</w:t>
            </w:r>
          </w:p>
        </w:tc>
        <w:tc>
          <w:tcPr>
            <w:tcW w:type="dxa" w:w="1215"/>
          </w:tcPr>
          <w:p>
            <w:r/>
            <w:r>
              <w:rPr>
                <w:b/>
              </w:rPr>
              <w:t>Coaching (L6)</w:t>
            </w:r>
          </w:p>
        </w:tc>
      </w:tr>
      <w:tr>
        <w:tc>
          <w:tcPr>
            <w:tcW w:type="dxa" w:w="1215"/>
          </w:tcPr>
          <w:p>
            <w:r/>
            <w:r>
              <w:t>Challenge that matches my ability</w:t>
            </w:r>
          </w:p>
        </w:tc>
        <w:tc>
          <w:tcPr>
            <w:tcW w:type="dxa" w:w="1215"/>
          </w:tcPr>
          <w:p>
            <w:r/>
            <w:r>
              <w:t>70.0% disengaged at ≤3 cycles; satisfaction 9/9 among sustained vs 11/21 (p = .013)</w:t>
            </w:r>
          </w:p>
        </w:tc>
        <w:tc>
          <w:tcPr>
            <w:tcW w:type="dxa" w:w="1215"/>
          </w:tcPr>
          <w:p>
            <w:r/>
            <w:r>
              <w:t>Flow / PEOU (TAM)</w:t>
            </w:r>
          </w:p>
        </w:tc>
        <w:tc>
          <w:tcPr>
            <w:tcW w:type="dxa" w:w="1215"/>
          </w:tcPr>
          <w:p>
            <w:r/>
            <w:r>
              <w:t>●</w:t>
            </w:r>
          </w:p>
        </w:tc>
        <w:tc>
          <w:tcPr>
            <w:tcW w:type="dxa" w:w="1215"/>
          </w:tcPr>
          <w:p>
            <w:r/>
            <w:r>
              <w:t>◐</w:t>
            </w:r>
          </w:p>
        </w:tc>
        <w:tc>
          <w:tcPr>
            <w:tcW w:type="dxa" w:w="1215"/>
          </w:tcPr>
          <w:p>
            <w:r/>
            <w:r/>
          </w:p>
        </w:tc>
        <w:tc>
          <w:tcPr>
            <w:tcW w:type="dxa" w:w="1215"/>
          </w:tcPr>
          <w:p>
            <w:r/>
            <w:r>
              <w:t>◐</w:t>
            </w:r>
          </w:p>
        </w:tc>
      </w:tr>
      <w:tr>
        <w:tc>
          <w:tcPr>
            <w:tcW w:type="dxa" w:w="1215"/>
          </w:tcPr>
          <w:p>
            <w:r/>
            <w:r>
              <w:t>Failure must not feel like a verdict about me</w:t>
            </w:r>
          </w:p>
        </w:tc>
        <w:tc>
          <w:tcPr>
            <w:tcW w:type="dxa" w:w="1215"/>
          </w:tcPr>
          <w:p>
            <w:r/>
            <w:r>
              <w:t>0/21 re-engagement after disengagement; Stage-1: ~74% adverse first experience among prior users</w:t>
            </w:r>
          </w:p>
        </w:tc>
        <w:tc>
          <w:tcPr>
            <w:tcW w:type="dxa" w:w="1215"/>
          </w:tcPr>
          <w:p>
            <w:r/>
            <w:r>
              <w:t>Loss aversion / D8 (Octalysis)</w:t>
            </w:r>
          </w:p>
        </w:tc>
        <w:tc>
          <w:tcPr>
            <w:tcW w:type="dxa" w:w="1215"/>
          </w:tcPr>
          <w:p>
            <w:r/>
            <w:r>
              <w:t>◐</w:t>
            </w:r>
          </w:p>
        </w:tc>
        <w:tc>
          <w:tcPr>
            <w:tcW w:type="dxa" w:w="1215"/>
          </w:tcPr>
          <w:p>
            <w:r/>
            <w:r>
              <w:t>●</w:t>
            </w:r>
          </w:p>
        </w:tc>
        <w:tc>
          <w:tcPr>
            <w:tcW w:type="dxa" w:w="1215"/>
          </w:tcPr>
          <w:p>
            <w:r/>
            <w:r>
              <w:t>◐</w:t>
            </w:r>
          </w:p>
        </w:tc>
        <w:tc>
          <w:tcPr>
            <w:tcW w:type="dxa" w:w="1215"/>
          </w:tcPr>
          <w:p>
            <w:r/>
            <w:r>
              <w:t>●</w:t>
            </w:r>
          </w:p>
        </w:tc>
      </w:tr>
      <w:tr>
        <w:tc>
          <w:tcPr>
            <w:tcW w:type="dxa" w:w="1215"/>
          </w:tcPr>
          <w:p>
            <w:r/>
            <w:r>
              <w:t>Visible personal progress</w:t>
            </w:r>
          </w:p>
        </w:tc>
        <w:tc>
          <w:tcPr>
            <w:tcW w:type="dxa" w:w="1215"/>
          </w:tcPr>
          <w:p>
            <w:r/>
            <w:r>
              <w:t>Recorded index and self-report diverge (5/8 single-session positive change, 2/8 felt improvement)</w:t>
            </w:r>
          </w:p>
        </w:tc>
        <w:tc>
          <w:tcPr>
            <w:tcW w:type="dxa" w:w="1215"/>
          </w:tcPr>
          <w:p>
            <w:r/>
            <w:r>
              <w:t>Competence (SDT) / D2</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Understandable, non-clinical feedback</w:t>
            </w:r>
          </w:p>
        </w:tc>
        <w:tc>
          <w:tcPr>
            <w:tcW w:type="dxa" w:w="1215"/>
          </w:tcPr>
          <w:p>
            <w:r/>
            <w:r>
              <w:t>60.0% self-reported improvement; satisfaction associated with staying</w:t>
            </w:r>
          </w:p>
        </w:tc>
        <w:tc>
          <w:tcPr>
            <w:tcW w:type="dxa" w:w="1215"/>
          </w:tcPr>
          <w:p>
            <w:r/>
            <w:r>
              <w:t>Gerontechnology anxiety (STAM)</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Reward for effort, not only outcome</w:t>
            </w:r>
          </w:p>
        </w:tc>
        <w:tc>
          <w:tcPr>
            <w:tcW w:type="dxa" w:w="1215"/>
          </w:tcPr>
          <w:p>
            <w:r/>
            <w:r>
              <w:t>Coin loop sustained play in completers (≥4 cycles: 9/30)</w:t>
            </w:r>
          </w:p>
        </w:tc>
        <w:tc>
          <w:tcPr>
            <w:tcW w:type="dxa" w:w="1215"/>
          </w:tcPr>
          <w:p>
            <w:r/>
            <w:r>
              <w:t>Learn-to-earn / D4</w:t>
            </w:r>
          </w:p>
        </w:tc>
        <w:tc>
          <w:tcPr>
            <w:tcW w:type="dxa" w:w="1215"/>
          </w:tcPr>
          <w:p>
            <w:r/>
            <w:r>
              <w:t>◐</w:t>
            </w:r>
          </w:p>
        </w:tc>
        <w:tc>
          <w:tcPr>
            <w:tcW w:type="dxa" w:w="1215"/>
          </w:tcPr>
          <w:p>
            <w:r/>
            <w:r/>
          </w:p>
        </w:tc>
        <w:tc>
          <w:tcPr>
            <w:tcW w:type="dxa" w:w="1215"/>
          </w:tcPr>
          <w:p>
            <w:r/>
            <w:r>
              <w:t>◐</w:t>
            </w:r>
          </w:p>
        </w:tc>
        <w:tc>
          <w:tcPr>
            <w:tcW w:type="dxa" w:w="1215"/>
          </w:tcPr>
          <w:p>
            <w:r/>
            <w:r/>
          </w:p>
        </w:tc>
      </w:tr>
      <w:tr>
        <w:tc>
          <w:tcPr>
            <w:tcW w:type="dxa" w:w="1215"/>
          </w:tcPr>
          <w:p>
            <w:r/>
            <w:r>
              <w:t>A reason to come back</w:t>
            </w:r>
          </w:p>
        </w:tc>
        <w:tc>
          <w:tcPr>
            <w:tcW w:type="dxa" w:w="1215"/>
          </w:tcPr>
          <w:p>
            <w:r/>
            <w:r>
              <w:t>No observed return in Stage 2; Stage-3 decoupled cohort returned 15/23</w:t>
            </w:r>
          </w:p>
        </w:tc>
        <w:tc>
          <w:tcPr>
            <w:tcW w:type="dxa" w:w="1215"/>
          </w:tcPr>
          <w:p>
            <w:r/>
            <w:r>
              <w:t>Behavioural intention (TAM/STAM)</w:t>
            </w:r>
          </w:p>
        </w:tc>
        <w:tc>
          <w:tcPr>
            <w:tcW w:type="dxa" w:w="1215"/>
          </w:tcPr>
          <w:p>
            <w:r/>
            <w:r>
              <w:t>◐</w:t>
            </w:r>
          </w:p>
        </w:tc>
        <w:tc>
          <w:tcPr>
            <w:tcW w:type="dxa" w:w="1215"/>
          </w:tcPr>
          <w:p>
            <w:r/>
            <w:r>
              <w:t>●</w:t>
            </w:r>
          </w:p>
        </w:tc>
        <w:tc>
          <w:tcPr>
            <w:tcW w:type="dxa" w:w="1215"/>
          </w:tcPr>
          <w:p>
            <w:r/>
            <w:r>
              <w:t>●</w:t>
            </w:r>
          </w:p>
        </w:tc>
        <w:tc>
          <w:tcPr>
            <w:tcW w:type="dxa" w:w="1215"/>
          </w:tcPr>
          <w:p>
            <w:r/>
            <w: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t xml:space="preserve">A provisional FIAS composite score was applied to the thirty participants using STAM- and Octalysis-derived attributes. </w:t>
      </w:r>
      <w:r>
        <w:t xml:space="preserve">The composite is assembled from thirteen binary attributes drawn from STAM and selected Octalysis drives and is reported on a 0–10 range; the rule that maps the thirteen items onto that range is specified in the codebook in Appendix B </w:t>
      </w:r>
      <w:r>
        <w:rPr>
          <w:b/>
          <w:highlight w:val="yellow"/>
        </w:rPr>
        <w:t>[AUTHOR INPUT REQUIRED: state the weighting or collapsing rule that maps the thirteen items onto the 0–10 composite]</w:t>
      </w:r>
      <w:r>
        <w:t xml:space="preserve">. </w:t>
      </w:r>
      <w:r>
        <w:t xml:space="preserve"> Six participants clustered at scores 9-10 (F4). Three of the six recorded positive change in the FRA index during their single session and did not return during the observation period. This is termed the objective-score-improvement/non-return paradox.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 xml:space="preserve">Stage 2 extended the FIAS hypothesis with three candidate theoretical components. First, identity-relevant endowment was proposed as a way to conceptualise resistance to unfavourable revaluation of a valued health self-concept. Second, stereotype threat was proposed as one possible trigger by which clinical or age-related cues increase the salience of decline. Third, domain reframing was identified as a candidate intervention: presenting the task as a coordination challenge may change the meaning of failure. These operators were not directly measured. H5 was therefore reframed as a directional test of </w:t>
      </w:r>
      <w:r>
        <w:lastRenderedPageBreak/>
        <w:t>whether a participant-facing decoupling package is associated with more post-failure return, not as a definitive test that domain reframing "prevents FIAS".</w:t>
      </w:r>
    </w:p>
    <w:p w14:paraId="36A7C737" w14:textId="77777777" w:rsidR="0062437E" w:rsidRDefault="00000000">
      <w:pPr>
        <w:keepNext/>
        <w:spacing w:before="160" w:after="40"/>
        <w:jc w:val="center"/>
      </w:pPr>
      <w:r>
        <w:rPr>
          <w:noProof/>
        </w:rPr>
        <w:drawing>
          <wp:inline distT="0" distB="0" distL="0" distR="0" wp14:anchorId="62135693" wp14:editId="0D3BE731">
            <wp:extent cx="5745172" cy="268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rotWithShape="1">
                    <a:blip r:embed="rId17"/>
                    <a:srcRect l="5195" r="5120" b="24471"/>
                    <a:stretch>
                      <a:fillRect/>
                    </a:stretch>
                  </pic:blipFill>
                  <pic:spPr bwMode="auto">
                    <a:xfrm>
                      <a:off x="0" y="0"/>
                      <a:ext cx="5790435" cy="2704521"/>
                    </a:xfrm>
                    <a:prstGeom prst="rect">
                      <a:avLst/>
                    </a:prstGeom>
                    <a:ln>
                      <a:noFill/>
                    </a:ln>
                    <a:extLst>
                      <a:ext uri="{53640926-AAD7-44D8-BBD7-CCE9431645EC}">
                        <a14:shadowObscured xmlns:a14="http://schemas.microsoft.com/office/drawing/2010/main"/>
                      </a:ext>
                    </a:extLs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t>Stage 2 has important limitations. The sample is small, drawn from one site,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and the direction convention of the archived index is under author confirmation. The self-reported outcomes are vulnerable to courtesy and demand bias, since the questionnaires were administered by facility staff in a setting where participants knew the deployment was a facility initiative. The week-2 motivational-orientation classification is not in the archived dataset and may be affected by reverse causality;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Stage 2 left two questions unresolved. First, was the low proportion classified as learning-oriented a stable characteristic of the Guangzhou cohort, an artefact of the week-2 coding scheme, or a response shaped by the clinical-game context? Second, would post-failure return differ when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t>Stage 3 made three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is not psychometrically equivalent to the Stage-2 week-2 learning-orientation classification and should not be used as a direct 2.7-fold measure of latent orientation change.</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w:t>
      </w:r>
    </w:p>
    <w:p>
      <w:r>
        <w:rPr>
          <w:b/>
          <w:highlight w:val="yellow"/>
        </w:rPr>
        <w:t>[AUTHOR INPUT REQUIRED: document the Stage-3 recruitment sources, inclusion and exclusion criteria, health and functional characteristics, staff scripts, observation window, and any differences in software version or support model relative to Stage 2, so that cross-stage comparability can be assessed.]</w:t>
      </w:r>
    </w:p>
    <w:p>
      <w:r>
        <w:rPr>
          <w:b/>
          <w:highlight w:val="yellow"/>
        </w:rPr>
        <w:t>[AUTHOR INPUT REQUIRED — Stage-3 raw data. The Stage-3 data logbook supplied on 12 July 2026 (Stage3_Data_Logbook_120cases.xlsx) contains the complete field structure — participants, per-session game telemetry, questionnaire responses and outcomes for IDs 3001–3120 — but no entered records. The Chapter 6 percentages (65.2% return, 6.7% non-return, 71.7% endorsement, 63.3% intention) therefore cannot yet be reproduced from an archived dataset. Populate the logbook from the field records, or attach the original source records, before binding; the Stage-3 claims should be treated as unverified until then.]</w:t>
      </w:r>
    </w:p>
    <w:p>
      <w:r>
        <w:rPr>
          <w:b/>
          <w:highlight w:val="green"/>
        </w:rPr>
        <w:t>[INSERT PHOTOGRAPH HERE — Figure 6.0A: Stage-3 site]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These measures should not be compared as direct multiples of the Stage-2 26.7% learning-orientation classification because the constructs, instruments, timing and coding procedures differ.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Stage-3 coordination endorsement and Stage-2 motivational orientation are non-equivalent measures. The former tests whether the participant recognised the presented activity as a coordination challenge; the latter was an exploratory week-2 classification partly based on behaviour. They should be reported side-by-side only with this distinction explicit.</w:t>
      </w:r>
    </w:p>
    <w:p>
      <w:r>
        <w:rPr>
          <w:b/>
          <w:highlight w:val="yellow"/>
        </w:rPr>
        <w:t>[AUTHOR INPUT REQUIRED: insert the per-age-band coordination-endorsement percentages in Table 6.3; the current draft records only the 71.7% total (86 of 120).]</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t xml:space="preserve">Figure 6.1 was regenerated directly from the counts reported in Table 6.2. </w:t>
      </w:r>
      <w:r>
        <w:rPr>
          <w:b/>
          <w:highlight w:val="yellow"/>
        </w:rPr>
        <w:t>[AUTHOR: confirm the regenerated chart against the Stage-3 records, or replace it with the original figure file if preferred.]</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 xml:space="preserve">Stage 3 deliberately did not collect participant-level clinical balance telemetry, so the Stage-2 score-improvement/non-return pattern cannot be replicated directly. What Stage 3 measures is a different outcome: whether participants who initially disengaged returned </w:t>
      </w:r>
      <w:r>
        <w:lastRenderedPageBreak/>
        <w:t>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one is observed session completion and the other is a hypothetical future intention. The difference is useful as a design diagnostic, but it should not be interpreted as a measured causal effect or as evidence that adaptive learning is the missing mechanism.</w:t>
      </w:r>
    </w:p>
    <w:p w14:paraId="0A108184" w14:textId="77777777" w:rsidR="0062437E" w:rsidRDefault="00000000">
      <w:pPr>
        <w:jc w:val="both"/>
      </w:pPr>
      <w:r>
        <w:t xml:space="preserve">Several explanations are plausible. Participants may have completed a single session but anticipated fatigue, access barriers, scheduling burden, insufficient relevance, motor difficulty or limited enjoyment from repeated play. A missing trajectory frame is one theoretically grounded possibility among these alternatives. The near-term study should therefore combine longitudinal behavioural follow-up with interviews or validated </w:t>
      </w:r>
      <w:r>
        <w:lastRenderedPageBreak/>
        <w:t>measures of fatigue, perceived competence, autonomy, burden, enjoyment and identity relevance before selecting the design lever.</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t>Stage 3 has material limitations. It is a between-cycle, between-cohort comparison;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is not equivalent to the Stage-2 orientation classification, and the complete LODF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496EADD" w14:textId="77777777" w:rsidTr="006D68FE">
        <w:trPr>
          <w:jc w:val="center"/>
        </w:trPr>
        <w:tc>
          <w:tcPr>
            <w:tcW w:w="3114" w:type="dxa"/>
          </w:tcPr>
          <w:p w14:paraId="1DE699E1" w14:textId="77777777" w:rsidR="0062437E" w:rsidRDefault="00000000">
            <w:r>
              <w:rPr>
                <w:sz w:val="18"/>
              </w:rPr>
              <w:t>Motivational orientation and completion (Stage 2, week-2 classification)</w:t>
            </w:r>
          </w:p>
        </w:tc>
        <w:tc>
          <w:tcPr>
            <w:tcW w:w="1092" w:type="dxa"/>
          </w:tcPr>
          <w:p w14:paraId="32AA145F" w14:textId="77777777" w:rsidR="0062437E" w:rsidRDefault="00000000">
            <w:r>
              <w:rPr>
                <w:sz w:val="18"/>
              </w:rPr>
              <w:t>OR = 31.5</w:t>
            </w:r>
          </w:p>
        </w:tc>
        <w:tc>
          <w:tcPr>
            <w:tcW w:w="1280" w:type="dxa"/>
          </w:tcPr>
          <w:p w14:paraId="41DC4CDD" w14:textId="77777777" w:rsidR="0062437E" w:rsidRDefault="00000000">
            <w:r>
              <w:rPr>
                <w:sz w:val="18"/>
              </w:rPr>
              <w:t>2.9–339</w:t>
            </w:r>
          </w:p>
        </w:tc>
        <w:tc>
          <w:tcPr>
            <w:tcW w:w="605" w:type="dxa"/>
          </w:tcPr>
          <w:p w14:paraId="3B7D97A5" w14:textId="77777777" w:rsidR="0062437E" w:rsidRDefault="00000000">
            <w:r>
              <w:rPr>
                <w:sz w:val="18"/>
              </w:rPr>
              <w:t>30</w:t>
            </w:r>
          </w:p>
        </w:tc>
        <w:tc>
          <w:tcPr>
            <w:tcW w:w="2090" w:type="dxa"/>
          </w:tcPr>
          <w:p>
            <w:r/>
            <w:r>
              <w:rPr>
                <w:b/>
                <w:highlight w:val="yellow"/>
              </w:rPr>
              <w:t>Odds ratio; Table 5.3. Classification records not in archive — see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35.6-percentage-point difference should respect the fact that retention and intention are distinct measures and may not represent a simple paired effect. The very wide interval around the week-2 motivational-orientation odds ratio, together with the absence of the classification from the archive, means that estimate should be treated as exploratory pending the author's coding records.</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Pr>
      <w:r>
        <w:lastRenderedPageBreak/>
        <w:t>Chapter 7 Discussion: Adaptive Learning and the Learning-Oriented Design Framework</w:t>
      </w:r>
      <w:bookmarkEnd w:id="111"/>
    </w:p>
    <w:p w14:paraId="108FF019" w14:textId="77777777" w:rsidR="0062437E" w:rsidRDefault="00000000">
      <w:pPr>
        <w:pStyle w:val="Heading2"/>
      </w:pPr>
      <w:r>
        <w:t>7.1 Why the Empirical Programme Motivates Adaptive Learning</w:t>
      </w:r>
    </w:p>
    <w:p w14:paraId="7CFAB031" w14:textId="77777777" w:rsidR="0062437E" w:rsidRDefault="00000000">
      <w:pPr>
        <w:jc w:val="both"/>
      </w:pPr>
      <w:r>
        <w:t>Stage 3 showed substantially greater post-failure return under a participant-facing decoupled condition and also revealed a difference between immediate session retention and stated regular-use intention in the oldest age band. Decoupling changes what the activity is not - it reduces overt clinical-verdict cues - but does not necessarily create a compelling positive reason for repeated use. Adaptive learning is introduced as one design response because it can make progress, next steps and personally calibrated challenge visible over time. The empirical programme motivates this response; it does not establish that adaptive learning will close the observed difference.</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LODF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 xml:space="preserve">Adaptive learning has a substantial literature in educational technology and intelligent tutoring systems. Its application to elderly users in gamified health contexts is more limited. Three anchors are relevant. First, intelligent tutoring systems for older learners (Hawthorn, 2007; Lee &amp; Coughlin, 2015) demonstrate that pacing and feedback adaptation matter more for older users than for younger users. Second, flow theory and the zone-of-proximal-development tradition (Csikszentmihalyi 1990; cf. Vygotsky) provide the mechanism for why adaptive calibration sustains engagement: challenge tracks evolving capability, neither falling below boredom nor rising above frustration. Third, productive failure (Kapur, 2008) reframes failure events as part of the learning </w:t>
      </w:r>
      <w:r>
        <w:lastRenderedPageBreak/>
        <w:t>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LODF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LODF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r>
        <w:t>7.4 The Learning-Oriented Design Framework (LODF)</w:t>
      </w:r>
      <w:bookmarkEnd w:id="113"/>
    </w:p>
    <w:p w14:paraId="41ACFB1A" w14:textId="77777777" w:rsidR="0062437E" w:rsidRDefault="00000000">
      <w:pPr>
        <w:jc w:val="both"/>
      </w:pPr>
      <w:r>
        <w:t xml:space="preserve">LODF organises three proposed principles.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w:t>
      </w:r>
      <w:r>
        <w:lastRenderedPageBreak/>
        <w:t>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w:t>
      </w:r>
    </w:p>
    <w:p w14:paraId="2429DB7B" w14:textId="77777777" w:rsidR="0062437E" w:rsidRDefault="00000000">
      <w:pPr>
        <w:pStyle w:val="TableCaption"/>
        <w:jc w:val="center"/>
      </w:pPr>
      <w:bookmarkStart w:id="114" w:name="_Toc232024705"/>
      <w:r>
        <w:t>Table 7.1. LODF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LODF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r>
        <w:t>7.5 Prototype Stack: Engineering-Actionable LODF Implementation</w:t>
      </w:r>
      <w:bookmarkEnd w:id="115"/>
    </w:p>
    <w:p w14:paraId="2BA671F8" w14:textId="77777777" w:rsidR="0062437E" w:rsidRDefault="00000000">
      <w:pPr>
        <w:jc w:val="both"/>
      </w:pPr>
      <w:r>
        <w:t>This section specifies the technical and protocol stack required to deploy LODF on existing FRA infrastructure. The stack extends the Stage-2 five-layer architecture with two additional protocol layers (User-Facing Trajectory Layer and Staff Coaching Protocol Layer) and one new instrumentation layer (LODF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r>
        <w:t>Table 7.2. LODF reference stack (L0–L7) mapped to LODF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LODF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LODF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rPr>
          <w:noProof/>
        </w:rPr>
        <w:lastRenderedPageBreak/>
        <w:drawing>
          <wp:inline distT="0" distB="0" distL="0" distR="0" wp14:anchorId="32D3F330" wp14:editId="664C0D16">
            <wp:extent cx="4836170" cy="3113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png"/>
                    <pic:cNvPicPr/>
                  </pic:nvPicPr>
                  <pic:blipFill>
                    <a:blip r:embed="rId20"/>
                    <a:stretch>
                      <a:fillRect/>
                    </a:stretch>
                  </pic:blipFill>
                  <pic:spPr>
                    <a:xfrm>
                      <a:off x="0" y="0"/>
                      <a:ext cx="4839706" cy="3115681"/>
                    </a:xfrm>
                    <a:prstGeom prst="rect">
                      <a:avLst/>
                    </a:prstGeom>
                  </pic:spPr>
                </pic:pic>
              </a:graphicData>
            </a:graphic>
          </wp:inline>
        </w:drawing>
      </w:r>
    </w:p>
    <w:p w14:paraId="2910E907" w14:textId="77777777" w:rsidR="0062437E" w:rsidRDefault="00000000">
      <w:pPr>
        <w:pStyle w:val="FigureCaption"/>
        <w:jc w:val="center"/>
      </w:pPr>
      <w:bookmarkStart w:id="118" w:name="_Toc232024692"/>
      <w:r>
        <w:t>Figure 7.1. LODF reference stack: existing five-layer FRA architecture (L0–L4) extended with three additional layers (L5 User-Facing Trajectory; L6 Staff Coaching Protocol; L7 LODF Telemetry).</w:t>
      </w:r>
      <w:bookmarkEnd w:id="118"/>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LODF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LODF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t>The thesis makes four principal theoretical contributions. First, it identifies failure-associated non-return as a post-contact behaviour that is not explicit in standard acceptance and gamification models. Second, it develops the FIDS-to-FIAS terminological revision and defines FIAS as a provisional, non-diagnostic behavioural construct. Third, it integrates self-efficacy, loss aversion, identity-relevant endowment, mental accounting and stereotype threat into a candidate frame-sensitive account that yields testable predictions. Fourth, it proposes that learning-trajectory appraisal can compete with a fixed-verdict appraisal and translates that proposition into LODF. The thesis does not claim to have verified mental accounting, established an entropy collapse, dissolved the score-improvement/non-return paradox, or demonstrated mutual exclusivity between endowment and adaptive learning.</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dual-purpose mechanic linking gameplay and a measurement pathway in one physical action; documentation of the Claude Code-assisted development workflow; theory-iterating action research with explicit revision points; a between-cohort quasi-experimental participant-facing decoupling comparison; and the use of a commitment-gap description to separate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with the direction convention under confirmation; a strong association between satisfaction and sustained engagement (Fisher's exact p = 0.013); an exploratory week-2 motivational-orientation odds ratio of 31.5 whose coding records remain to be archived;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LODF is engineering-actionable in the sense that its components can be specified on existing infrastructure. Its empirical status is that of a proposed framework informed by field evidence and learning theory. The reference stack and prototype specification translate principles into components, while the applied case studies illustrate hypotheses for other domains.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LODF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(LODF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 xml:space="preserve">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w:t>
      </w:r>
      <w:r>
        <w:lastRenderedPageBreak/>
        <w:t>version, analysis scripts and the exact questionnaire versions. Where data cannot be shared, the access procedure and restrictions should be stated. File names alone are not sufficient unless the files are deposited with the thesis or in a governed repository accessible to examiners.</w:t>
      </w:r>
    </w:p>
    <w:p w14:paraId="440D872A" w14:textId="77777777" w:rsidR="0062437E" w:rsidRDefault="00000000">
      <w:pPr>
        <w:pStyle w:val="AuthorAction"/>
        <w:jc w:val="both"/>
      </w:pPr>
      <w:r>
        <w:t xml:space="preserve">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w:t>
      </w:r>
      <w:r>
        <w:rPr>
          <w:b/>
          <w:highlight w:val="yellow"/>
        </w:rPr>
        <w:t>[AUTHOR INPUT REQUIRED: record the model name and vendor, the version or dated endpoint, the system and user prompts, the LangChain configuration, temperature and other generation settings, fallback rules and any manual overrides. Earlier drafts named different vendors in §5.3 and Appendix E; the final record must state the endpoint actually deployed]</w:t>
      </w:r>
      <w:r>
        <w:t xml:space="preserve">. Third, the appendices bind the verbatim language versions of all instruments, the translation procedure, the complete FIAS codebook with inter-coder reliability, the consent materials and the photographic record </w:t>
      </w:r>
      <w:r>
        <w:rPr>
          <w:b/>
          <w:highlight w:val="yellow"/>
        </w:rPr>
        <w:t>[AUTHOR INPUT REQUIRED: complete this documentation at the marked positions in Appendices A–D and G before binding]</w:t>
      </w:r>
      <w:r>
        <w:t>.</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w:t>
      </w:r>
    </w:p>
    <w:p w14:paraId="6657E3B0" w14:textId="77777777" w:rsidR="0062437E" w:rsidRDefault="00000000">
      <w:pPr>
        <w:jc w:val="both"/>
      </w:pPr>
      <w:r>
        <w:t>The programme was conducted as sequential action research. The conclusion distinguishes three levels of claim: observed results, theoretically informed inferences and proposed design responses. This distinction is central to the thesis's final warrant.</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moved upward while self-reported improvement was rare and no one returned. This divergence motivated the behavioural-economic account, but it did not establish clinical benefit or directly measure endowment, mental accounting or stereotype threat, and the direction convention of the recorded index remains under author confirmation.</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 xml:space="preserve">FIAS is therefore advanced as a provisional construct describing failure-associated active non-return under identity-relevant conditions. The thesis's principal theoretical contribution is the identification of coupling and framing as a plausible locus of </w:t>
      </w:r>
      <w:r>
        <w:lastRenderedPageBreak/>
        <w:t>engagement risk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preserve the viability of gamified coordination and balance activities for older users. The findings do not imply that game design theory fails in clinical settings. Rather, they indicate that the participant-facing relationship between gameplay, assessment language and clinical interpretation deserves explicit design attention.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 xml:space="preserve">Adaptive learning is proposed as one design response because it can present performance as a trajectory, specify the next achievable step and calibrate challenge, feedback and </w:t>
      </w:r>
      <w:r>
        <w:lastRenderedPageBreak/>
        <w:t>pacing. LODF formalises three components: identity disentanglement, trajectory installation and adaptive calibration. The framework is not yet empirically validated as a package, and the Stage-3 result should not be treated as a test of adaptive learning.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LODF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t xml:space="preserve">The thesis offers four theoretical contributions. First, it identifies failure-associated non-return as a post-contact problem insufficiently represented in standard acceptance models. Second, it introduces FIAS as a provisional, non-diagnostic construct that distinguishes active non-return from administrative dropout. Third, it integrates self-efficacy and behavioural-economics literatures into a candidate frame-sensitive mechanism with </w:t>
      </w:r>
      <w:r>
        <w:lastRenderedPageBreak/>
        <w:t>explicit measurement requirements. Fourth, it formulates endowment-protective and learning-trajectory appraisals as competing regimes and translates that formulation into a falsifiable engineering framework. The thesis does not claim empirical verification of mental accounting, irreversible account closure or mutual exclusion.</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a deployable design specification. LODF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LODF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rPr>
          <w:noProof/>
        </w:rPr>
        <w:drawing>
          <wp:inline distT="0" distB="0" distL="0" distR="0" wp14:anchorId="1BFD3204" wp14:editId="5B74963F">
            <wp:extent cx="5120640" cy="313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21"/>
                    <a:stretch>
                      <a:fillRect/>
                    </a:stretch>
                  </pic:blipFill>
                  <pic:spPr>
                    <a:xfrm>
                      <a:off x="0" y="0"/>
                      <a:ext cx="5120640" cy="3136050"/>
                    </a:xfrm>
                    <a:prstGeom prst="rect">
                      <a:avLst/>
                    </a:prstGeom>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LODF,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LODF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At the individual level, an adverse first experience may be interpreted in ways that influence return. At the cohort level, first failure was associated with observed dropout in Stage 2, while post-failure return was substantially higher in a separate Stage-3 decoupled cohort. At the design level, these findings motivate participant-facing decoupling, trajectory-oriented feedback and adaptive calibration. At the system level, they motivate a future comparison between telemetry-conditioned and person-conditioned adaptation. The evidence is strongest at the behavioural level and progressively more provisional as it moves toward mechanism and future architecture.</w:t>
      </w:r>
    </w:p>
    <w:p w14:paraId="3CB31C06" w14:textId="77777777" w:rsidR="0062437E" w:rsidRDefault="00000000">
      <w:pPr>
        <w:jc w:val="both"/>
      </w:pPr>
      <w:r>
        <w:t>The contribution is therefore a calibrated chain rather than one mechanism demonstrated at four scales. The survey identified a problem signature; Stage 2 characterised failure-associated non-return and the divergence between score change and return; Stage 3 provided convergent quasi-experimental evidence for a frame-sensitive account; LODF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b/>
          <w:highlight w:val="yellow"/>
        </w:rPr>
        <w:t>[AUTHOR INPUT REQUIRED: insert the verbatim Mandarin wording of the six survey items, the bilingual back-translation record, and the inter-rater agreement statistics for the staff administrators.]</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b/>
          <w:highlight w:val="yellow"/>
        </w:rPr>
        <w:t>[AUTHOR INPUT REQUIRED: insert the full thirteen-attribute coding rules table (including the item-to-composite mapping onto the 0–10 range), the inter-coder reliability statistics (Cohen's κ across the two trained coders), and the four worked-example transcripts that calibrate F1 through F4.]</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b/>
          <w:highlight w:val="yellow"/>
        </w:rPr>
        <w:t>[AUTHOR INPUT REQUIRED: insert the verbatim bilingual question wording, the staff-administered consent script, and one sample anonymised transcript for an F4 participant.]</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b/>
          <w:highlight w:val="yellow"/>
        </w:rPr>
        <w:t>[AUTHOR INPUT REQUIRED: insert the verbatim Cantonese, Mandarin and English wording of items D1 and D2, and the scale-level reliability (α) computed at the close of Stage 3.]</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r>
        <w:lastRenderedPageBreak/>
        <w:t>Appendix E · Five-Layer Architecture and LODF Reference Stack</w:t>
      </w:r>
      <w:bookmarkEnd w:id="176"/>
    </w:p>
    <w:p w14:paraId="2F195BE2" w14:textId="77777777" w:rsidR="0062437E" w:rsidRDefault="00000000">
      <w:pPr>
        <w:jc w:val="both"/>
      </w:pPr>
      <w:r>
        <w:t>The Stage-2 deployment ran on a five-layer architecture that has been the operational platform for both the in-frame skiing game and the decoupled Stage-3 condition. The full LODF reference stack adds three further layers (L5 User-Facing Trajectory, L6 Staff Coaching Protocol, L7 LODF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r>
        <w:t>E.2 · Layers L5–L7 (LODF Reference Stack)</w:t>
      </w:r>
      <w:bookmarkEnd w:id="178"/>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LODF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14:paraId="17D9BA8A" w14:textId="77777777" w:rsidR="0062437E" w:rsidRDefault="00000000">
            <w:r>
              <w:rPr>
                <w:sz w:val="20"/>
              </w:rP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t xml:space="preserve">G.1  Cleaned Stage-1 survey response file (CSV). </w:t>
      </w:r>
      <w:r>
        <w:rPr>
          <w:b/>
          <w:highlight w:val="yellow"/>
        </w:rPr>
        <w:t>[AUTHOR INPUT REQUIRED: attach file]</w:t>
      </w:r>
    </w:p>
    <w:p>
      <w: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w:t>
      </w:r>
      <w:r>
        <w:rPr>
          <w:b/>
          <w:highlight w:val="yellow"/>
        </w:rPr>
        <w:t>[AUTHOR INPUT REQUIRED: session-level telemetry with timestamps and AI-call logs was not part of this archive — attach it if it exists, or state in §8.9 that it was not retained]</w:t>
      </w:r>
    </w:p>
    <w:p>
      <w:r>
        <w:t xml:space="preserve">G.3  Stage-3 data logbook (Stage3_Data_Logbook_120cases.xlsx): codebook, participants, per-session telemetry, questionnaire responses, outcomes and aggregate formulas for IDs 3001–3120. Template received 12 July 2026 with no entered records. </w:t>
      </w:r>
      <w:r>
        <w:rPr>
          <w:b/>
          <w:highlight w:val="yellow"/>
        </w:rPr>
        <w:t>[AUTHOR INPUT REQUIRED: populate all sheets from the Stage-3 field records; the Chapter 6 results cannot be reproduced until this is complete]</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t xml:space="preserve">G.7  AI prompt-template archive used in Layer 2 (system and user prompts, versions and settings). </w:t>
      </w:r>
      <w:r>
        <w:rPr>
          <w:b/>
          <w:highlight w:val="yellow"/>
        </w:rPr>
        <w:t>[AUTHOR INPUT REQUIRED: attach archive]</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