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3EFA50" w14:textId="77777777" w:rsidR="00C5419C" w:rsidRDefault="00874FEF">
      <w:pPr>
        <w:pStyle w:val="Heading1"/>
        <w:spacing w:after="80"/>
      </w:pPr>
      <w:r>
        <w:rPr>
          <w:b/>
          <w:bCs/>
          <w:sz w:val="28"/>
          <w:szCs w:val="28"/>
        </w:rPr>
        <w:t>Expert Consultation Interview Protocol</w:t>
      </w:r>
    </w:p>
    <w:p w14:paraId="4A15A335" w14:textId="77777777" w:rsidR="00C5419C" w:rsidRDefault="00874FEF">
      <w:pPr>
        <w:spacing w:after="150"/>
      </w:pPr>
      <w:r>
        <w:rPr>
          <w:i/>
          <w:iCs/>
          <w:sz w:val="21"/>
          <w:szCs w:val="21"/>
        </w:rPr>
        <w:t>Gamified Fall Risk Assessment and Failure-Induced Abandonment (FIAS) — EngD programme, Hong Kong Polytechnic University. Semi-structured guide, 45–60 minutes. Sidney K. T. Tam.</w:t>
      </w:r>
    </w:p>
    <w:p w14:paraId="3B23016B" w14:textId="77777777" w:rsidR="00C5419C" w:rsidRDefault="00874FEF">
      <w:pPr>
        <w:pStyle w:val="Heading2"/>
        <w:spacing w:before="240" w:after="9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Purpose and method note</w:t>
      </w:r>
    </w:p>
    <w:p w14:paraId="419EE846" w14:textId="4EE746B9" w:rsidR="00121397" w:rsidRPr="001F4DC8" w:rsidRDefault="001F4DC8">
      <w:pPr>
        <w:pStyle w:val="Heading2"/>
        <w:spacing w:before="240" w:after="90"/>
      </w:pPr>
      <w:r>
        <w:rPr>
          <w:sz w:val="23"/>
          <w:szCs w:val="23"/>
        </w:rPr>
        <w:t xml:space="preserve">To understand how elderly people </w:t>
      </w:r>
      <w:r w:rsidR="00E44764">
        <w:rPr>
          <w:sz w:val="23"/>
          <w:szCs w:val="23"/>
        </w:rPr>
        <w:t xml:space="preserve">are </w:t>
      </w:r>
      <w:r w:rsidR="009238AB">
        <w:rPr>
          <w:sz w:val="23"/>
          <w:szCs w:val="23"/>
        </w:rPr>
        <w:t xml:space="preserve">being </w:t>
      </w:r>
      <w:r w:rsidR="00226591">
        <w:rPr>
          <w:sz w:val="23"/>
          <w:szCs w:val="23"/>
        </w:rPr>
        <w:t xml:space="preserve">affected by their own </w:t>
      </w:r>
      <w:r w:rsidR="00AD7307">
        <w:rPr>
          <w:sz w:val="23"/>
          <w:szCs w:val="23"/>
        </w:rPr>
        <w:t xml:space="preserve">behavior when they were invited to any health related activities like assessment, rehabilitation </w:t>
      </w:r>
      <w:r w:rsidR="000404DB">
        <w:rPr>
          <w:sz w:val="23"/>
          <w:szCs w:val="23"/>
        </w:rPr>
        <w:t xml:space="preserve">therapy, </w:t>
      </w:r>
      <w:r w:rsidR="0021241D">
        <w:rPr>
          <w:sz w:val="23"/>
          <w:szCs w:val="23"/>
        </w:rPr>
        <w:t xml:space="preserve">group games </w:t>
      </w:r>
      <w:r w:rsidR="0018268A">
        <w:rPr>
          <w:sz w:val="23"/>
          <w:szCs w:val="23"/>
        </w:rPr>
        <w:t xml:space="preserve">or individual </w:t>
      </w:r>
      <w:r w:rsidR="007325FE">
        <w:rPr>
          <w:sz w:val="23"/>
          <w:szCs w:val="23"/>
        </w:rPr>
        <w:t xml:space="preserve">activities </w:t>
      </w:r>
      <w:r w:rsidR="00D70846">
        <w:rPr>
          <w:sz w:val="23"/>
          <w:szCs w:val="23"/>
        </w:rPr>
        <w:t xml:space="preserve">in health related </w:t>
      </w:r>
      <w:r w:rsidR="005D2855">
        <w:rPr>
          <w:sz w:val="23"/>
          <w:szCs w:val="23"/>
        </w:rPr>
        <w:t>situations</w:t>
      </w:r>
      <w:r w:rsidR="00815778">
        <w:rPr>
          <w:sz w:val="23"/>
          <w:szCs w:val="23"/>
        </w:rPr>
        <w:t xml:space="preserve">; the health contexts are not limited to physical </w:t>
      </w:r>
      <w:r w:rsidR="00784713">
        <w:rPr>
          <w:sz w:val="23"/>
          <w:szCs w:val="23"/>
        </w:rPr>
        <w:t xml:space="preserve">activity but include the mental and </w:t>
      </w:r>
      <w:r w:rsidR="00450312">
        <w:rPr>
          <w:sz w:val="23"/>
          <w:szCs w:val="23"/>
        </w:rPr>
        <w:t xml:space="preserve">behavioral aspects. </w:t>
      </w:r>
    </w:p>
    <w:p w14:paraId="511919F8" w14:textId="77777777" w:rsidR="00C5419C" w:rsidRDefault="00874FEF">
      <w:pPr>
        <w:spacing w:after="110"/>
      </w:pPr>
      <w:r>
        <w:rPr>
          <w:i/>
          <w:iCs/>
          <w:sz w:val="21"/>
          <w:szCs w:val="21"/>
        </w:rPr>
        <w:t>Record: name · exact title and institution (as the expert states it) · date · format · attribution choice · recording consent.</w:t>
      </w:r>
    </w:p>
    <w:p w14:paraId="4B062B11" w14:textId="77777777" w:rsidR="00C5419C" w:rsidRDefault="00874FEF">
      <w:pPr>
        <w:pStyle w:val="Heading2"/>
        <w:spacing w:before="240" w:after="90"/>
      </w:pPr>
      <w:r>
        <w:rPr>
          <w:b/>
          <w:bCs/>
          <w:sz w:val="23"/>
          <w:szCs w:val="23"/>
        </w:rPr>
        <w:t>Section A — Background (5 min)</w:t>
      </w:r>
    </w:p>
    <w:p w14:paraId="46AEFB33" w14:textId="0E09F3C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Please describe your current role and how your work relates to older adults and fall risk</w:t>
      </w:r>
      <w:r w:rsidR="00C75C35">
        <w:rPr>
          <w:sz w:val="21"/>
          <w:szCs w:val="21"/>
        </w:rPr>
        <w:t xml:space="preserve"> or other health </w:t>
      </w:r>
      <w:r w:rsidR="00666953">
        <w:rPr>
          <w:sz w:val="21"/>
          <w:szCs w:val="21"/>
        </w:rPr>
        <w:t xml:space="preserve">concerns. </w:t>
      </w:r>
    </w:p>
    <w:p w14:paraId="41E7AD11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From your discipline's perspective, what matters most about falls in older populations that other fields tend to miss?</w:t>
      </w:r>
    </w:p>
    <w:p w14:paraId="6FE74156" w14:textId="77777777" w:rsidR="00C5419C" w:rsidRDefault="00874FEF">
      <w:pPr>
        <w:pStyle w:val="Heading2"/>
        <w:spacing w:before="240" w:after="90"/>
      </w:pPr>
      <w:r>
        <w:rPr>
          <w:b/>
          <w:bCs/>
          <w:sz w:val="23"/>
          <w:szCs w:val="23"/>
        </w:rPr>
        <w:t>Section B — The engagement problem (10 min)</w:t>
      </w:r>
    </w:p>
    <w:p w14:paraId="15C26A1E" w14:textId="77777777" w:rsidR="00C5419C" w:rsidRDefault="00874FEF">
      <w:pPr>
        <w:spacing w:after="80"/>
      </w:pPr>
      <w:r>
        <w:rPr>
          <w:i/>
          <w:iCs/>
          <w:sz w:val="21"/>
          <w:szCs w:val="21"/>
        </w:rPr>
        <w:t>Context to read: "In my fieldwork, most older adults who tried a clinical fall-risk assessment had an adverse first experience and never came back — even when their measured performance was improving."</w:t>
      </w:r>
    </w:p>
    <w:p w14:paraId="5E6DCDB3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Does that pattern match what you have seen or studied? Where have you seen it?</w:t>
      </w:r>
    </w:p>
    <w:p w14:paraId="35792CD6" w14:textId="77777777" w:rsidR="00C5419C" w:rsidRDefault="00874FEF"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In your view, what is happening inside that non-return?</w:t>
      </w:r>
    </w:p>
    <w:p w14:paraId="691EA602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Is there anything about the first experience specifically that carries so much weight?</w:t>
      </w:r>
    </w:p>
    <w:p w14:paraId="57D38BCB" w14:textId="77777777" w:rsidR="00C5419C" w:rsidRDefault="00874FEF">
      <w:pPr>
        <w:pStyle w:val="Heading2"/>
        <w:spacing w:before="240" w:after="90"/>
      </w:pPr>
      <w:r>
        <w:rPr>
          <w:b/>
          <w:bCs/>
          <w:sz w:val="23"/>
          <w:szCs w:val="23"/>
        </w:rPr>
        <w:t>Section C — Framing and purpose (10 min)</w:t>
      </w:r>
    </w:p>
    <w:p w14:paraId="69A6C841" w14:textId="77777777" w:rsidR="00C5419C" w:rsidRDefault="00874FEF">
      <w:pPr>
        <w:spacing w:after="80"/>
      </w:pPr>
      <w:r>
        <w:rPr>
          <w:i/>
          <w:iCs/>
          <w:sz w:val="21"/>
          <w:szCs w:val="21"/>
        </w:rPr>
        <w:t>Context to read: "When the same game was offered with the clinical purpose removed — presented only as a coordination game — retention rose to over 93%, and most people who initially dropped out came back on their own."</w:t>
      </w:r>
    </w:p>
    <w:p w14:paraId="3E5D59D4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Why do you think removing the clinical frame changed behaviour that much?</w:t>
      </w:r>
    </w:p>
    <w:p w14:paraId="1E4BE94B" w14:textId="77777777" w:rsidR="00C5419C" w:rsidRDefault="00874FEF"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Is a "test" different from a "game" in some fundamental social sense for this generation?</w:t>
      </w:r>
    </w:p>
    <w:p w14:paraId="2D1C603E" w14:textId="77777777" w:rsidR="00C5419C" w:rsidRDefault="00874FEF">
      <w:pPr>
        <w:pStyle w:val="Heading2"/>
        <w:spacing w:before="240" w:after="90"/>
      </w:pPr>
      <w:r>
        <w:rPr>
          <w:b/>
          <w:bCs/>
          <w:sz w:val="23"/>
          <w:szCs w:val="23"/>
        </w:rPr>
        <w:t>Section D — The commitment gap (10 min)</w:t>
      </w:r>
    </w:p>
    <w:p w14:paraId="34A4EA4A" w14:textId="77777777" w:rsidR="00C5419C" w:rsidRDefault="00874FEF">
      <w:pPr>
        <w:spacing w:after="80"/>
      </w:pPr>
      <w:r>
        <w:rPr>
          <w:i/>
          <w:iCs/>
          <w:sz w:val="21"/>
          <w:szCs w:val="21"/>
        </w:rPr>
        <w:t>Context to read: "Even in the decoupled version, there was a gap: about 85% of the oldest group completed the sessions, but only about 56% said they would use it regularly. Many who enjoyed it saw no place for it in their lives."</w:t>
      </w:r>
    </w:p>
    <w:p w14:paraId="35BCE277" w14:textId="77777777" w:rsidR="00C5419C" w:rsidRDefault="00874FEF"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What would you look at first to explain that gap?</w:t>
      </w:r>
    </w:p>
    <w:p w14:paraId="2A48B0F2" w14:textId="15D57195" w:rsidR="00C5419C" w:rsidRDefault="00C5419C" w:rsidP="00083232">
      <w:pPr>
        <w:spacing w:after="110"/>
      </w:pPr>
    </w:p>
    <w:p w14:paraId="41B8F2DB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What, in your experience, makes older adults return to an activity week after week — what builds the habit, not just the visit?</w:t>
      </w:r>
    </w:p>
    <w:p w14:paraId="6F498536" w14:textId="77777777" w:rsidR="00C5419C" w:rsidRDefault="00874FEF">
      <w:pPr>
        <w:pStyle w:val="Heading2"/>
        <w:spacing w:before="240" w:after="90"/>
      </w:pPr>
      <w:r>
        <w:rPr>
          <w:b/>
          <w:bCs/>
          <w:sz w:val="23"/>
          <w:szCs w:val="23"/>
        </w:rPr>
        <w:t>Section E — The social dimension (10 min)</w:t>
      </w:r>
    </w:p>
    <w:p w14:paraId="728857A8" w14:textId="77777777" w:rsidR="00C5419C" w:rsidRDefault="00874FEF">
      <w:pPr>
        <w:spacing w:after="80"/>
      </w:pPr>
      <w:r>
        <w:rPr>
          <w:i/>
          <w:iCs/>
          <w:sz w:val="21"/>
          <w:szCs w:val="21"/>
        </w:rPr>
        <w:t>Ask E1 openly BEFORE revealing that the study used individual play.</w:t>
      </w:r>
    </w:p>
    <w:p w14:paraId="7397CF93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Does the setting — alone versus with others — change how older adults experience an activity like this?</w:t>
      </w:r>
    </w:p>
    <w:p w14:paraId="22032ADF" w14:textId="77777777" w:rsidR="00C5419C" w:rsidRDefault="00874FEF"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The study sessions were played individually. Would you expect group play to change engagement? In which direction, and why?</w:t>
      </w:r>
    </w:p>
    <w:p w14:paraId="37870268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Are there conditions under which social play would backfire for this population?</w:t>
      </w:r>
    </w:p>
    <w:p w14:paraId="517417F0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How does culture shape this? Would your answer differ across the settings you have practised in?</w:t>
      </w:r>
    </w:p>
    <w:p w14:paraId="6DC728F4" w14:textId="77777777" w:rsidR="00C5419C" w:rsidRDefault="00874FEF">
      <w:pPr>
        <w:pStyle w:val="Heading2"/>
        <w:spacing w:before="240" w:after="90"/>
      </w:pPr>
      <w:r>
        <w:rPr>
          <w:b/>
          <w:bCs/>
          <w:sz w:val="23"/>
          <w:szCs w:val="23"/>
        </w:rPr>
        <w:t>Section F — Adaptive learning and design (8 min)</w:t>
      </w:r>
    </w:p>
    <w:p w14:paraId="0C7AFF85" w14:textId="77777777" w:rsidR="00C5419C" w:rsidRDefault="00874FEF">
      <w:pPr>
        <w:spacing w:after="80"/>
      </w:pPr>
      <w:r>
        <w:rPr>
          <w:i/>
          <w:iCs/>
          <w:sz w:val="21"/>
          <w:szCs w:val="21"/>
        </w:rPr>
        <w:t>Context to read: "My design proposal is adaptive learning: the game calibrates challenge to the individual and presents failure as information about a rising personal trajectory, so improvement itself becomes the reason to return."</w:t>
      </w:r>
    </w:p>
    <w:p w14:paraId="65A953ED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What is your reaction to that proposal from your physiotherapy practice standpoint?</w:t>
      </w:r>
    </w:p>
    <w:p w14:paraId="2C05974C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Through what channel would you expect adaptation to actually happen for an older person — private mastery, or something between people?</w:t>
      </w:r>
    </w:p>
    <w:p w14:paraId="6D89FD2C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If you could add one measure to a follow-up study to test your view, what would it be?</w:t>
      </w:r>
    </w:p>
    <w:p w14:paraId="61C27486" w14:textId="77777777" w:rsidR="00C5419C" w:rsidRDefault="00874FEF">
      <w:pPr>
        <w:pStyle w:val="Heading2"/>
        <w:spacing w:before="240" w:after="90"/>
      </w:pPr>
      <w:r>
        <w:rPr>
          <w:b/>
          <w:bCs/>
          <w:sz w:val="23"/>
          <w:szCs w:val="23"/>
        </w:rPr>
        <w:t>Section G — Closing (5 min)</w:t>
      </w:r>
    </w:p>
    <w:p w14:paraId="7BFD15F6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Is there anything important about this problem we have not touched?</w:t>
      </w:r>
    </w:p>
    <w:p w14:paraId="3740840A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Is there anyone whose perspective you think I should hear?</w:t>
      </w:r>
    </w:p>
    <w:p w14:paraId="41164F45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Confirm: attribution preference, quote-approval contact, and whether they wish to receive the findings.</w:t>
      </w:r>
    </w:p>
    <w:p w14:paraId="0FEBE987" w14:textId="77777777" w:rsidR="00C5419C" w:rsidRDefault="00874FEF">
      <w:pPr>
        <w:pStyle w:val="Heading2"/>
        <w:spacing w:before="240" w:after="90"/>
      </w:pPr>
      <w:r>
        <w:rPr>
          <w:b/>
          <w:bCs/>
          <w:sz w:val="23"/>
          <w:szCs w:val="23"/>
        </w:rPr>
        <w:t>After the interview (interviewer checklist)</w:t>
      </w:r>
    </w:p>
    <w:p w14:paraId="686AA340" w14:textId="77777777" w:rsidR="00C5419C" w:rsidRDefault="00874FEF">
      <w:pPr>
        <w:spacing w:after="110"/>
      </w:pPr>
      <w:r>
        <w:rPr>
          <w:sz w:val="21"/>
          <w:szCs w:val="21"/>
        </w:rPr>
        <w:t>Within 48 hours: write the record; note date, duration, format; file the consent; log the interview in the §3.5 action-research record; send the attribution sentences for approval before binding; add the approved record to Appendix G. Do not merge insights into the thesis text before the quote-approval returns.</w:t>
      </w:r>
    </w:p>
    <w:sectPr w:rsidR="00C5419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447ABD"/>
    <w:multiLevelType w:val="hybridMultilevel"/>
    <w:tmpl w:val="FFFFFFFF"/>
    <w:lvl w:ilvl="0" w:tplc="D52EFCC4">
      <w:start w:val="1"/>
      <w:numFmt w:val="decimal"/>
      <w:lvlText w:val="%1."/>
      <w:lvlJc w:val="left"/>
      <w:pPr>
        <w:ind w:left="431" w:hanging="431"/>
      </w:pPr>
    </w:lvl>
    <w:lvl w:ilvl="1" w:tplc="7E4005E8">
      <w:numFmt w:val="decimal"/>
      <w:lvlText w:val=""/>
      <w:lvlJc w:val="left"/>
    </w:lvl>
    <w:lvl w:ilvl="2" w:tplc="048229D0">
      <w:numFmt w:val="decimal"/>
      <w:lvlText w:val=""/>
      <w:lvlJc w:val="left"/>
    </w:lvl>
    <w:lvl w:ilvl="3" w:tplc="793C5672">
      <w:numFmt w:val="decimal"/>
      <w:lvlText w:val=""/>
      <w:lvlJc w:val="left"/>
    </w:lvl>
    <w:lvl w:ilvl="4" w:tplc="D95C3CAC">
      <w:numFmt w:val="decimal"/>
      <w:lvlText w:val=""/>
      <w:lvlJc w:val="left"/>
    </w:lvl>
    <w:lvl w:ilvl="5" w:tplc="26644DDC">
      <w:numFmt w:val="decimal"/>
      <w:lvlText w:val=""/>
      <w:lvlJc w:val="left"/>
    </w:lvl>
    <w:lvl w:ilvl="6" w:tplc="7B0AC542">
      <w:numFmt w:val="decimal"/>
      <w:lvlText w:val=""/>
      <w:lvlJc w:val="left"/>
    </w:lvl>
    <w:lvl w:ilvl="7" w:tplc="FE861252">
      <w:numFmt w:val="decimal"/>
      <w:lvlText w:val=""/>
      <w:lvlJc w:val="left"/>
    </w:lvl>
    <w:lvl w:ilvl="8" w:tplc="1104042A">
      <w:numFmt w:val="decimal"/>
      <w:lvlText w:val=""/>
      <w:lvlJc w:val="left"/>
    </w:lvl>
  </w:abstractNum>
  <w:abstractNum w:abstractNumId="1" w15:restartNumberingAfterBreak="0">
    <w:nsid w:val="516B4F4E"/>
    <w:multiLevelType w:val="hybridMultilevel"/>
    <w:tmpl w:val="FFFFFFFF"/>
    <w:lvl w:ilvl="0" w:tplc="33689EB8">
      <w:start w:val="1"/>
      <w:numFmt w:val="bullet"/>
      <w:lvlText w:val="●"/>
      <w:lvlJc w:val="left"/>
      <w:pPr>
        <w:ind w:left="720" w:hanging="360"/>
      </w:pPr>
    </w:lvl>
    <w:lvl w:ilvl="1" w:tplc="9A1497DA">
      <w:start w:val="1"/>
      <w:numFmt w:val="bullet"/>
      <w:lvlText w:val="○"/>
      <w:lvlJc w:val="left"/>
      <w:pPr>
        <w:ind w:left="1440" w:hanging="360"/>
      </w:pPr>
    </w:lvl>
    <w:lvl w:ilvl="2" w:tplc="ECE6FA8E">
      <w:start w:val="1"/>
      <w:numFmt w:val="bullet"/>
      <w:lvlText w:val="■"/>
      <w:lvlJc w:val="left"/>
      <w:pPr>
        <w:ind w:left="2160" w:hanging="360"/>
      </w:pPr>
    </w:lvl>
    <w:lvl w:ilvl="3" w:tplc="DAA46B14">
      <w:start w:val="1"/>
      <w:numFmt w:val="bullet"/>
      <w:lvlText w:val="●"/>
      <w:lvlJc w:val="left"/>
      <w:pPr>
        <w:ind w:left="2880" w:hanging="360"/>
      </w:pPr>
    </w:lvl>
    <w:lvl w:ilvl="4" w:tplc="65420A76">
      <w:start w:val="1"/>
      <w:numFmt w:val="bullet"/>
      <w:lvlText w:val="○"/>
      <w:lvlJc w:val="left"/>
      <w:pPr>
        <w:ind w:left="3600" w:hanging="360"/>
      </w:pPr>
    </w:lvl>
    <w:lvl w:ilvl="5" w:tplc="BF140992">
      <w:start w:val="1"/>
      <w:numFmt w:val="bullet"/>
      <w:lvlText w:val="■"/>
      <w:lvlJc w:val="left"/>
      <w:pPr>
        <w:ind w:left="4320" w:hanging="360"/>
      </w:pPr>
    </w:lvl>
    <w:lvl w:ilvl="6" w:tplc="6CDC8BBE">
      <w:start w:val="1"/>
      <w:numFmt w:val="bullet"/>
      <w:lvlText w:val="●"/>
      <w:lvlJc w:val="left"/>
      <w:pPr>
        <w:ind w:left="5040" w:hanging="360"/>
      </w:pPr>
    </w:lvl>
    <w:lvl w:ilvl="7" w:tplc="8C0C1668">
      <w:start w:val="1"/>
      <w:numFmt w:val="bullet"/>
      <w:lvlText w:val="●"/>
      <w:lvlJc w:val="left"/>
      <w:pPr>
        <w:ind w:left="5760" w:hanging="360"/>
      </w:pPr>
    </w:lvl>
    <w:lvl w:ilvl="8" w:tplc="D85868EC">
      <w:start w:val="1"/>
      <w:numFmt w:val="bullet"/>
      <w:lvlText w:val="●"/>
      <w:lvlJc w:val="left"/>
      <w:pPr>
        <w:ind w:left="6480" w:hanging="360"/>
      </w:pPr>
    </w:lvl>
  </w:abstractNum>
  <w:num w:numId="1" w16cid:durableId="1508326143">
    <w:abstractNumId w:val="1"/>
    <w:lvlOverride w:ilvl="0">
      <w:startOverride w:val="1"/>
    </w:lvlOverride>
  </w:num>
  <w:num w:numId="2" w16cid:durableId="11086243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19C"/>
    <w:rsid w:val="000404DB"/>
    <w:rsid w:val="00083232"/>
    <w:rsid w:val="001042B6"/>
    <w:rsid w:val="00121397"/>
    <w:rsid w:val="0018268A"/>
    <w:rsid w:val="001F4DC8"/>
    <w:rsid w:val="0021241D"/>
    <w:rsid w:val="00226591"/>
    <w:rsid w:val="00450312"/>
    <w:rsid w:val="004933C2"/>
    <w:rsid w:val="005D2855"/>
    <w:rsid w:val="00666953"/>
    <w:rsid w:val="007325FE"/>
    <w:rsid w:val="00784713"/>
    <w:rsid w:val="007E4A02"/>
    <w:rsid w:val="00815778"/>
    <w:rsid w:val="00874FEF"/>
    <w:rsid w:val="009238AB"/>
    <w:rsid w:val="00AD7307"/>
    <w:rsid w:val="00C5419C"/>
    <w:rsid w:val="00C75C35"/>
    <w:rsid w:val="00D70846"/>
    <w:rsid w:val="00E44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C1ECC4"/>
  <w15:docId w15:val="{E236FCB8-9D1E-384E-89D1-7794092EC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H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599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TAM, Sidney [Student]</cp:lastModifiedBy>
  <cp:revision>2</cp:revision>
  <dcterms:created xsi:type="dcterms:W3CDTF">2026-07-19T16:17:00Z</dcterms:created>
  <dcterms:modified xsi:type="dcterms:W3CDTF">2026-07-19T16:17:00Z</dcterms:modified>
</cp:coreProperties>
</file>