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Failure-Induced Abandonment of a Gamified, Artificial Intelligence-Assisted Fall Risk Assessment System Among Older Adults in Residential Care: Action Research Study</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r>
        <w:rPr>
          <w:b/>
        </w:rPr>
        <w:t xml:space="preserve">Background: </w:t>
      </w:r>
      <w:r>
        <w:t>Fall Risk Assessment (FRA) systems assess balance and support fall prevention as clinical devices, but they rarely achieve sustained engagement among older adults. At the study facility, a survey of 200 residents found that only 39% had ever used the installed FRA system; approximately 74% of users failed at their first attempt, and 82% of those never returned. Established acceptance models and gamification frameworks predict whether people start using a system and how engagement is motivated within a session; none represents what happens after a user fails.</w:t>
      </w:r>
    </w:p>
    <w:p>
      <w:r>
        <w:rPr>
          <w:b/>
        </w:rPr>
        <w:t xml:space="preserve">Objective: </w:t>
      </w:r>
      <w:r>
        <w:t>This study aimed to characterise engagement and abandonment behaviour in a gamified, artificial intelligence (AI)-assisted FRA deployment among elderly residents, and to propose a testable behavioural account of rapid post-failure abandonment without documented return.</w:t>
      </w:r>
    </w:p>
    <w:p>
      <w:r>
        <w:rPr>
          <w:b/>
        </w:rPr>
        <w:t xml:space="preserve">Methods: </w:t>
      </w:r>
      <w:r>
        <w:t>An action-research deployment ran for eight weeks at a residential care facility in Southern China. An AI-assisted skiing game was built on the FRA system's weight-shifting foot pressure panel, so that one physical action steers the on-screen skier while yielding the centre-of-pressure stream from which the clinical balance index is computed. First-session difficulty was set low enough for the weakest-balance participant to succeed, and an AI layer adapted difficulty to individual performance. Thirty residents (aged 62-84 years; mean 71.1, SD 5.9; 13 men, 17 women) participated without remuneration; the consent arrangement as conducted and approved (incomplete disclosure with gatekeeper consent, written consent obtained retrospectively from sustained participants) is described under Ethical Considerations. Behavioural outcomes (disengagement, re-engagement), the recorded FRA index and satisfaction were analysed with Wilson 95% confidence intervals, paired t and Wilcoxon tests, and Fisher's exact test.</w:t>
      </w:r>
    </w:p>
    <w:p>
      <w:r>
        <w:rPr>
          <w:b/>
        </w:rPr>
        <w:t xml:space="preserve">Results: </w:t>
      </w:r>
      <w:r>
        <w:t>Seventy per cent of participants (21/30; 95% CI 52.1-83.3) had three or fewer recorded completed game runs, 26.7% (8/30; 95% CI 14.2-44.4) had a single completed run, and no low-engagement participant had a later recorded run within the study window (0/21; 95% CI 0.0-15.5). Among the nine sustained participants, the recorded FRA index improved by a mean of +6.9 points (95% CI 4.5-9.3; paired dz=2.22, 95% CI 0.95-3.46); across all thirty participants the paired change was +4.0 points (95% CI 0.5-7.6; dz=0.42, 95% CI 0.05-0.79). Satisfaction was strongly associated with sustained engagement (9/9 vs 11/21; P=.013). Three participants whose recorded balance index improved during their only session still never returned.</w:t>
      </w:r>
    </w:p>
    <w:p>
      <w:r>
        <w:rPr>
          <w:b/>
        </w:rPr>
        <w:t xml:space="preserve">Conclusions: </w:t>
      </w:r>
      <w:r>
        <w:t>The findings motivate two working hypotheses: failure-induced dropout (FIDS), in which a first failure collapses task self-efficacy, and failure-induced abandonment (FIAS), in which loss aversion converts negative feedback into evidence of bodily decline, so that non-return persists. Four falsifiable predictions (H1-H4) and a domain-reframing hypothesis (H5) are specified for a preregistered three-arm confirmatory study. Practitioner guidance follows directly: guarantee success in the first session, monitor observable abandonment-risk signals, coach with mastery-oriented language, and never display output the user could read as a health verdict.</w:t>
      </w:r>
    </w:p>
    <w:p>
      <w:r>
        <w:t>Keywords: gamification; serious games; older adults; fall risk assessment; technology abandonment; eHealth attrition; self-efficacy; loss aversion; balance; action research</w:t>
      </w:r>
    </w:p>
    <w:p>
      <w:pPr>
        <w:pStyle w:val="Heading1"/>
      </w:pPr>
      <w:r>
        <w:t>Introduction</w:t>
      </w:r>
    </w:p>
    <w:p>
      <w:r>
        <w:t>Falls are the leading cause of injury-related hospitalisation in adults aged 65 or older [1], [2].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[46].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[3], [4], partly through low self-efficacy and a growing perception of age-related limitation [5], [6]. Eysenbach argued that abandonment is the most common outcome of digital health interventions and called for a 'science of attrition' [7]. The adoption frameworks in wide use — TAM and its extensions — concern what makes people start using a system and have little to say about what happens after a user fails [8], [9].</w:t>
      </w:r>
    </w:p>
    <w:p>
      <w:r>
        <w:t>Gamification has been proposed as one route to better engagement among older adults [10]. An, Cheung and Willoughby reported that a gamified learning system lifted perceived usefulness, ease of use and behavioural intention among older participants within a single session [11], while noting that their design could not show whether people return after experiencing failure, and calling for work on post-adoption obstacles. That call motivated the present study.</w:t>
      </w:r>
    </w:p>
    <w:p>
      <w:pPr>
        <w:jc w:val="both"/>
      </w:pPr>
      <w:r>
        <w:t>The inquiry is also a knowledge-management one. An FRA station is a small knowledge infrastructure: it generates assessment information from balance telemetry, codifies it as a clinical index for therapist review, and is intended to return its meaning to the person assessed. In the deployment reported here, generation and codification were carried by the system itself; the open questions concern interpretation and use — what the assessment output came to mean to therapists and participants, and what happened when the assessment experience turned adverse and the intended beneficiary stopped participating in the very system that produces the knowledge. The contribution sought is accordingly not a new assessment technique but an account of where the chain from knowledge generation through interpretation to use can break for older users, together with an explicit statement, in the Discussion, of which links in that chain the study's records can and cannot resolve.</w:t>
      </w:r>
    </w:p>
    <w:p>
      <w:pPr>
        <w:pStyle w:val="Heading2"/>
      </w:pPr>
      <w:r>
        <w:t>Background</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Research Questions</w:t>
      </w:r>
    </w:p>
    <w:p>
      <w:r>
        <w:t>RQ1: Does gamified exercise enhance both clinical outcomes measured via FRA and user acceptance among frail elderly residents in residential care? RQ2: What explains rapid attrition, with no documented re-engagement within the observation window,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2"/>
      </w:pPr>
      <w:r>
        <w:t>Prior Work</w:t>
      </w:r>
    </w:p>
    <w:p>
      <w:pPr>
        <w:pStyle w:val="Heading3"/>
      </w:pPr>
      <w:r>
        <w:t>Elderly Technology Adoption</w:t>
      </w:r>
    </w:p>
    <w:p>
      <w:r>
        <w:t>Guner and Acarturk found that TAM remains useful in predicting which technologies older adults choose to use [3]. Wildenbos et al. organised ageing barriers into cognitive, physical, perceptual and motivational types, with motivational aspects the least addressed [4]. Hawthorn observed that many elderly people read their age as evidence against their ability to learn new technologies [5], and Tsai et al. found technology anxiety peaking at first use [6]. Lee and Coughlin noted that older adults respond better to training structured around explicit goals [14], and reviews report that reluctance toward health technologies is often driven by perceived threats to autonomy and independence [15].</w:t>
      </w:r>
    </w:p>
    <w:p>
      <w:pPr>
        <w:pStyle w:val="Heading3"/>
      </w:pPr>
      <w:r>
        <w:t>Positioning Against the Science of Attrition</w:t>
      </w:r>
    </w:p>
    <w:p>
      <w:r>
        <w:t>Eysenbach's 'law of attrition' distinguished usage attrition from research dropout [7]; the users in this study fall into the former group. Kelders et al. found persuasive features and human involvement the strongest indicators of long-term adherence [12]; Christensen et al. noted that the psychological mechanisms beneath adherence remain poorly understood [13]. None of this literature explains why, specifically among frail older adults using FRA systems, abandonment after first failure is rapid, persistent and immune to redesign. FIAS is intended to fill this gap.</w:t>
      </w:r>
    </w:p>
    <w:p>
      <w:pPr>
        <w:jc w:val="both"/>
      </w:pPr>
      <w:r>
        <w:t>At the level of whole technology programmes, nonadoption and abandonment are directly theorised by the NASSS framework [47], which locates their sources across the users, the technology, the organisation and the wider context of health and care deployments. NASSS therefore already accommodates the outcome observed here; what its domains do not specify is the psychological appraisal through which a single adverse experience becomes lasting non-return for a particular user. The FIDS-FIAS account is pitched at exactly that level: a candidate individual-level failure-appraisal mechanism, proposed to operate at the moment of an adverse assessment experience. It is offered as a complement to programme-level frameworks such as NASSS — a proposed refinement on the user side of such an analysis — not as a replacement for them, and its status remains hypothetical pending confirmatory testing.</w:t>
      </w:r>
    </w:p>
    <w:p>
      <w:pPr>
        <w:pStyle w:val="Heading3"/>
      </w:pPr>
      <w:r>
        <w:t>Fear of Falling</w:t>
      </w:r>
    </w:p>
    <w:p>
      <w:r>
        <w:t>Fear of falling denotes persistent fear that results in activity avoidance even when the person is physically capable [16], [18]. Yardley et al. developed the Falls Efficacy Scale-International (FES-I), capturing falls-related self-efficacy across sixteen everyday activities [17].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documented non-return (H1).</w:t>
      </w:r>
    </w:p>
    <w:p>
      <w:pPr>
        <w:pStyle w:val="Heading3"/>
      </w:pPr>
      <w:r>
        <w:t>Gamification and Elderly Health Technology</w:t>
      </w:r>
    </w:p>
    <w:p>
      <w:r>
        <w:t>Gamification applies game-design elements in non-game contexts [10]; work with older adults has concentrated on physical activity and cognitive training [11], [19]. An et al. is the closest precedent: improvements in perceived usefulness, ease of use and behavioural intention among 115 participants aged 50-75, with gamification effectiveness the strongest predictor of ease of use [11]. Their design covered a single session and could not capture what happens when a person fails; the present eight-week longitudinal study responds directly to that limitation.</w:t>
      </w:r>
    </w:p>
    <w:p>
      <w:pPr>
        <w:pStyle w:val="Heading3"/>
      </w:pPr>
      <w:r>
        <w:t>Theoretical Frameworks</w:t>
      </w:r>
    </w:p>
    <w:p>
      <w:r>
        <w:t>TAM predicts adoption from perceived usefulness and ease of use [8]; UTAUT adds social influence and facilitating conditions [9]; STAM extends these for older users with gerontechnology self-efficacy and anxiety [20]; and the Octalysis framework describes eight core drives of engagement with game designs [21]. None of these frameworks addresses the response to failure: all treat engagement as continuous or increasing under appropriate design.</w:t>
      </w:r>
    </w:p>
    <w:p>
      <w:pPr>
        <w:pStyle w:val="Heading3"/>
      </w:pPr>
      <w:r>
        <w:t>Self-Efficacy, Prospect Theory, and the FIDS-FIAS Transition</w:t>
      </w:r>
    </w:p>
    <w:p>
      <w:r>
        <w:t>Bandura's work indicates that self-efficacy determines effort and persistence in the face of adversity [22], and computer self-efficacy shapes system use [23]. A frail older adult who fails an FRA task may experience a collapse of technology self-efficacy leading to disengagement — the mechanism denoted FIDS. Prospect Theory explains why re-engagement may not follow [24], [25]: people evaluate outcomes relative to a reference point, and losses loom roughly twice as large as commensurate gains. For an elderly person, the reference point is their sense of their own physical capability; failure delivers unwelcome news about it, and returning risks more. On this account, the psychological cost can outweigh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3"/>
      </w:pPr>
      <w:r>
        <w:t>Motivation Crowding and the FRA-Game Coupling</w:t>
      </w:r>
    </w:p>
    <w:p>
      <w:r>
        <w:t>Frey and Jegen's motivation-crowding effect names the erosion of intrinsic motivation by external evaluation [26]; Deci and Ryan's basic needs — autonomy, competence, relatedness — ground intrinsic motivation [27]. When a game is linked directly to health evaluation, play becomes assessment. For older adults already carrying low self-efficacy and high health anxiety, the coupling may not only lower interest but also produce an identity-driven negative reaction.</w:t>
      </w:r>
    </w:p>
    <w:p>
      <w:pPr>
        <w:pStyle w:val="Heading3"/>
      </w:pPr>
      <w:r>
        <w:t>Behaviour-Change Lens: COM-B</w:t>
      </w:r>
    </w:p>
    <w:p>
      <w:r>
        <w:t>In COM-B terms [28], the adaptive difficulty engine manages capability and on-site deployment provides opportunity; the hypothesised FIAS pattern is located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3"/>
      </w:pPr>
      <w:r>
        <w:t>Information Entropy as a Conceptual Lens</w:t>
      </w:r>
    </w:p>
    <w:p>
      <w:r>
        <w:t>Shannon entropy, H(p) = −Σ pᵢ log₂ pᵢ [29], is used here as a conceptual lens, not a quantitative model.</w:t>
      </w:r>
    </w:p>
    <w:p>
      <w:pPr>
        <w:pStyle w:val="Heading3"/>
      </w:pPr>
      <w:r>
        <w:t>Research Gap</w:t>
      </w:r>
    </w:p>
    <w:p>
      <w:r>
        <w:t>No existing framework covers the full arc from initial adoption through failure to abandonment without documented return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NASSS [47] maps nonadoption and abandonment across users, technology, organisation and context without specifying the individual-level appraisal at the moment of an adverse assessment experience; the fear-of-falling literature supplies instruments not yet applied to gamified FRA; and COM-B maps design choices without the underlying theory. This study addresses that gap.</w:t>
      </w:r>
    </w:p>
    <w:p>
      <w:pPr>
        <w:pStyle w:val="Heading2"/>
      </w:pPr>
      <w:r>
        <w:t>Objectives and Contribution</w:t>
      </w:r>
    </w:p>
    <w:p>
      <w:r>
        <w:t>This paper makes three original contributions. First, it documents empirical evidence of a pattern in which older users stop using a gamified FRA after early failure and show no documented return within the observation window: 70.0% with three or fewer recorded completed runs (95% CI 52.1-83.3%), 26.7% with a single completed run (95% CI 14.2-44.4%), and no later recorded run among the 21 low-engagement participants (95% CI 0.0-15.5%) over eight weeks — including three participants whose recorded balance index improved in their only recorded run. Second, it proposes a mechanistic account — hypothesised, not measured — in which self-efficacy collapse at first failure is consolidated into permanent abandonment by loss aversion, with four falsifiable predictions (H1-H4). Third, it presents a framework for failure-aware coaching in health-assessment gamification, comprising observable risk signals and an intervention specification congruent with COM-B, specified for evaluation in the confirmatory study rather than tested here.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Methods</w:t>
      </w:r>
    </w:p>
    <w:p>
      <w:pPr>
        <w:pStyle w:val="Heading2"/>
      </w:pPr>
      <w:r>
        <w:t>Study Design</w:t>
      </w:r>
    </w:p>
    <w:p>
      <w:r>
        <w:t>An action-research methodology was followed throughout [30], [31],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Ethical Considerations</w:t>
      </w:r>
    </w:p>
    <w:p>
      <w:r>
        <w:t>The programme operates under the ethics policy of The Hong Kong Polytechnic University and in accordance with the Declaration of Helsinki; the programme, including the characterisation of the Stage-2 consent arrangement, was approved by the university's Human Subjects Ethics Sub-Committee (application reference HSEARS20260805008; Principal Investigator: Prof. C. F. Cheung; approved 6 August 2026 by the Departmental Research Committee of the Department of Industrial and Systems Engineering on behalf of the PolyU Institutional Review Board, for the approval period 16 June 2024 to 30 October 2026, following completion of the June–August 2025 fieldwork; the approval covers the procedures as conducted). The procedure is reported exactly as conducted. The facility's management, operators and nursing team approved and supported the deployment (gatekeeper consent, recorded); residents were invited by the facility to try the gamified system as a facility activity, and play was voluntary and free of charge. Participants were not told during the deployment that play formed part of a research project: announcing a fall-risk study would have re-imposed the clinical assessment frame whose behavioural effect was under study, so incomplete disclosure was integral to the design. Written consent was obtained retrospectively from the sustained participants at the close of the eight-week cycle; dropouts did not sign, and this limitation is acknowledged. Facility staff screened residents' suitability for the standing activity; trained facility personnel remained present throughout sessions, with non-slip flooring and grab rails in reach, and no adverse events occurred. All data were pseudonymised at collection.</w:t>
      </w:r>
    </w:p>
    <w:p>
      <w:pPr>
        <w:pStyle w:val="Heading2"/>
      </w:pPr>
      <w:r>
        <w:t>Data Governance and Protection</w:t>
      </w:r>
    </w:p>
    <w:p>
      <w:r>
        <w:t>Data collected comprised FRA assessment scores, play-session logs, satisfaction ratings and demographics. All data were pseudonymised at collection, with the code key stored separately and encrypted. Data handling was designed to comply with the Personal Information Protection Law (PIPL) [32]. The AI difficulty-adaptation service received only non-identifying aggregate game parameters (obstacle density, speed, timing); no participant identities, demographics, FRA scores or other health information were transmitted to external servers. Throughout the paper, the AI tooling is an enabling technology; the contribution is the behavioural analysis and design framework.</w:t>
      </w:r>
    </w:p>
    <w:p>
      <w:pPr>
        <w:pStyle w:val="Heading2"/>
      </w:pPr>
      <w:r>
        <w:t>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At the first attendance each participant completed a standard-mode FRA assessment before game play began; over the eight weeks participants then played the gamified FRA at the station in attended sessions. This was a single-group observational field study of dropout patterns, not a randomised controlled trial.</w:t>
      </w:r>
    </w:p>
    <w:p>
      <w:pPr>
        <w:jc w:val="both"/>
      </w:pPr>
      <w:r>
        <w:t>The deployment window and the subsequent analysis period are distinct phases of the study. The eight-week deployment was conducted between June and August 2025. The months that followed, extending into 2026, formed a data-processing period in which the study records were checked, the results analysed, and the therapists' observations - recorded contemporaneously during the deployment - interpreted. Apart from the post-deployment interviews with the nine sustained participants, conducted one to two days after the eight-week cycle, and the three centre-manager interviews (described under the qualitative record), this period consisted of record and analysis work only: it involved no participant follow-up and no further participant contact.</w:t>
      </w:r>
    </w:p>
    <w:p>
      <w:pPr>
        <w:jc w:val="both"/>
      </w:pPr>
      <w:r>
        <w:t>The thirty participants correspond to the study's raw-data archive as follows. The archive workbook holds 32 populated records; two of these, labelled 'Control' in the symptoms column (a man aged 36 and a woman aged 53), are test plays by facility staff/therapists — reference plays recorded to check that the system was operating correctly. They are not study participants and not facility residents in the target group, and they formed no part of any designed comparison: the label reflects record-keeping during system checking, not an experimental control condition, and no controlled comparison is made or implied in this paper. Excluding these two system-check records reproduces the 30-person analytical sample reported throughout. At the archive level, records carry stable pseudonymous participant codes, with the original records retained unchanged.</w:t>
      </w:r>
    </w:p>
    <w:p>
      <w:pPr>
        <w:pStyle w:val="Heading2"/>
      </w:pPr>
      <w:r>
        <w:t>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recorded completed runs</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recorded completed runs (exploratory grouping)</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2"/>
      </w:pPr>
      <w:r>
        <w:t>The Gamified Intervention</w:t>
      </w:r>
    </w:p>
    <w:p>
      <w:pPr>
        <w:pStyle w:val="Heading3"/>
      </w:pPr>
      <w:r>
        <w:t>Dual-Purpose Input</w:t>
      </w:r>
    </w:p>
    <w:p>
      <w:r>
        <w:t>The system was engineered so that one physical action performs two functions.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[33] and established its test-retest reliability [34];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pPr>
        <w:pStyle w:val="Heading3"/>
      </w:pPr>
      <w:r>
        <w:t>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[21] (Figure 1). Staff were instructed to use phrases such as 'you are practising a new balance skill' in place of 'you are being tested for fall risk'.</w:t>
      </w:r>
    </w:p>
    <w:p>
      <w:r>
        <w:drawing>
          <wp:inline xmlns:a="http://schemas.openxmlformats.org/drawingml/2006/main" xmlns:pic="http://schemas.openxmlformats.org/drawingml/2006/picture">
            <wp:extent cx="4754880" cy="3076687"/>
            <wp:docPr id="1" name="Picture 1"/>
            <wp:cNvGraphicFramePr>
              <a:graphicFrameLocks noChangeAspect="1"/>
            </wp:cNvGraphicFramePr>
            <a:graphic>
              <a:graphicData uri="http://schemas.openxmlformats.org/drawingml/2006/picture">
                <pic:pic>
                  <pic:nvPicPr>
                    <pic:cNvPr id="0" name="thesis_fig_5_1_image4.png"/>
                    <pic:cNvPicPr/>
                  </pic:nvPicPr>
                  <pic:blipFill>
                    <a:blip r:embed="rId9"/>
                    <a:stretch>
                      <a:fillRect/>
                    </a:stretch>
                  </pic:blipFill>
                  <pic:spPr>
                    <a:xfrm>
                      <a:off x="0" y="0"/>
                      <a:ext cx="4754880" cy="3076687"/>
                    </a:xfrm>
                    <a:prstGeom prst="rect"/>
                  </pic:spPr>
                </pic:pic>
              </a:graphicData>
            </a:graphic>
          </wp:inline>
        </w:drawing>
      </w:r>
    </w:p>
    <w:p>
      <w:r>
        <w:rPr>
          <w:i/>
          <w:sz w:val="18"/>
        </w:rPr>
        <w:t>Figure 1. The gamified skiing interface deployed on the InBody balance panel. The user steers the on-screen skier by shifting body weight laterally on the pressure-sensitive panel; each lateral shift is simultaneously logged as Centre-of-Pressure (COP) coordinates for clinical fall-risk analysis. The dual-purpose design allows a standard FRA measurement to occur within a game context.</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[35] and with An et al.'s conclusion that building confidence matters more than competition in this population [11]. The leaderboard is removed from the confirmatory design.</w:t>
      </w:r>
    </w:p>
    <w:p>
      <w:pPr>
        <w:pStyle w:val="Heading3"/>
      </w:pPr>
      <w:r>
        <w:t>Five-Layer Architecture</w:t>
      </w:r>
    </w:p>
    <w:p>
      <w:r>
        <w:t>The system comprises five layers.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 Figure 2 shows the deployed game at five staged difficulty levels.</w:t>
      </w:r>
    </w:p>
    <w:p>
      <w:r>
        <w:drawing>
          <wp:inline xmlns:a="http://schemas.openxmlformats.org/drawingml/2006/main" xmlns:pic="http://schemas.openxmlformats.org/drawingml/2006/picture">
            <wp:extent cx="5486400" cy="6337738"/>
            <wp:docPr id="6" name="Picture 6"/>
            <wp:cNvGraphicFramePr>
              <a:graphicFrameLocks noChangeAspect="1"/>
            </wp:cNvGraphicFramePr>
            <a:graphic>
              <a:graphicData uri="http://schemas.openxmlformats.org/drawingml/2006/picture">
                <pic:pic>
                  <pic:nvPicPr>
                    <pic:cNvPr id="0" name="Figure3_Game_Screenshots_Difficulty_Levels.png"/>
                    <pic:cNvPicPr/>
                  </pic:nvPicPr>
                  <pic:blipFill>
                    <a:blip r:embed="rId14"/>
                    <a:stretch>
                      <a:fillRect/>
                    </a:stretch>
                  </pic:blipFill>
                  <pic:spPr>
                    <a:xfrm>
                      <a:off x="0" y="0"/>
                      <a:ext cx="5486400" cy="6337738"/>
                    </a:xfrm>
                    <a:prstGeom prst="rect"/>
                  </pic:spPr>
                </pic:pic>
              </a:graphicData>
            </a:graphic>
          </wp:inline>
        </w:drawing>
      </w:r>
    </w:p>
    <w:p>
      <w:r>
        <w:t>Figure 2. The skiing game at five staged difficulty multipliers (x0.40-x1.40). Obstacle density and scroll speed scale with the AI-set difficulty multiplier; screenshots are from the archived build in the deployed design lineage.</w:t>
      </w:r>
    </w:p>
    <w:p>
      <w:pPr>
        <w:pStyle w:val="Heading3"/>
      </w:pPr>
      <w:r>
        <w:t>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recorded below 'Satisfied' after the first run; no improvement across three consecutive cycles; and participants attributing difficulty to age or physical deterioration. In COM-B terms, coaching addresses reflective motivation through reframing, and staff activation adds social opportunity. Both the risk signals and the coaching and reframing responses are untested intervention hypotheses: none was deployed or evaluated in the present study, and their effects remain to be established in the confirmatory study.</w:t>
      </w:r>
    </w:p>
    <w:p>
      <w:pPr>
        <w:pStyle w:val="Heading2"/>
      </w:pPr>
      <w:r>
        <w:t>Data Collection and Measures</w:t>
      </w:r>
    </w:p>
    <w:p>
      <w:r>
        <w:t>At the first attendance each participant completed a standard-mode FRA assessment (the FRA used without the game link) before game play began; because the dual-purpose input routes the pressure-panel signal into the same FRA measurement pathway, game play then produced assessment indexes as well. Each session involved performance on the gamified task with its FRA index output; in addition, a five-point satisfaction rating and a symptom-improvement judgement were recorded once per participant, the former via the after-game paper questionnaire and the latter compiled from therapist observation rather than participant self-report. Five variables were collected per participant: V1 cycles completed; V2 pre/post FRA index, where the 'before' value is the standard-mode assessment at first attendance and the 'after' value is the game-generated index from the final play, at whatever week it occurred; V3 symptom change; V4 satisfaction; V5 age and gender. Both indexes are produced automatically by the same measurement engine from the same centre-of-pressure pathway, so they share a scale; but pre/post changes span different exposure durations, for participants with one completed run the pair derives from that single recorded play, and the two values arise under different task contexts (assessment protocol versus game play), so the measured change contains any context effect alongside balance change. Individual Octalysis and STAM questionnaires could not be administered as initially planned. Session-level temporal data (inter-session intervals, durations) were not captured. A higher FRA index signifies better balance; participants with increased indices between sessions reported improved well-being.</w:t>
      </w:r>
    </w:p>
    <w:p>
      <w:pPr>
        <w:jc w:val="both"/>
      </w:pPr>
      <w:r>
        <w:t>Therapist observations entered the record during the deployment itself. Therapists observed players during gameplay sessions in the course of ordinary facility practice and relayed their observations to the researcher on a near-daily basis across the eight weeks; the researcher recorded these accounts in field notes at the time. The observational record is therefore contemporaneous with the deployment, not a later reconstruction from recall. The therapists kept no written per-participant records of their own; attribution of observations to individual participants was performed by the researcher when compiling the field notes.</w:t>
      </w:r>
    </w:p>
    <w:p>
      <w:pPr>
        <w:jc w:val="both"/>
      </w:pPr>
      <w:r>
        <w:t>The table below provides a data dictionary for the archived variables, stating each measure's source and the clarifications that govern its reading.</w:t>
      </w:r>
    </w:p>
    <w:p>
      <w:pPr/>
      <w:r>
        <w:t>Table 2. Data dictionary for the archived study variables: source and clarifications.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Source</w:t>
            </w:r>
          </w:p>
        </w:tc>
        <w:tc>
          <w:tcPr>
            <w:tcW w:type="dxa" w:w="2880"/>
          </w:tcPr>
          <w:p>
            <w:r>
              <w:rPr>
                <w:b/>
              </w:rPr>
              <w:t>Clarifications</w:t>
            </w:r>
          </w:p>
        </w:tc>
      </w:tr>
      <w:tr>
        <w:tc>
          <w:tcPr>
            <w:tcW w:type="dxa" w:w="2880"/>
          </w:tcPr>
          <w:p>
            <w:r>
              <w:t>Before-game index</w:t>
            </w:r>
          </w:p>
        </w:tc>
        <w:tc>
          <w:tcPr>
            <w:tcW w:type="dxa" w:w="2880"/>
          </w:tcPr>
          <w:p>
            <w:r>
              <w:t>InBody FRA composite index from a standard-mode FRA assessment at the participant's first attendance, before game play (the FRA used without the game link).</w:t>
            </w:r>
          </w:p>
        </w:tc>
        <w:tc>
          <w:tcPr>
            <w:tcW w:type="dxa" w:w="2880"/>
          </w:tcPr>
          <w:p>
            <w:r>
              <w:t>Higher values indicate better performance; the manufacturer calibrates the population average near 70 and reports positive correlations with the Berg Balance Scale and the Short Physical Performance Battery (InBody Co., Ltd., 2022).</w:t>
            </w:r>
          </w:p>
        </w:tc>
      </w:tr>
      <w:tr>
        <w:tc>
          <w:tcPr>
            <w:tcW w:type="dxa" w:w="2880"/>
          </w:tcPr>
          <w:p>
            <w:r>
              <w:t>After-game index</w:t>
            </w:r>
          </w:p>
        </w:tc>
        <w:tc>
          <w:tcPr>
            <w:tcW w:type="dxa" w:w="2880"/>
          </w:tcPr>
          <w:p>
            <w:r>
              <w:t>Game-generated index from the final attended gameplay episode; the dual-purpose input routes the same centre-of-pressure stream into the same measurement engine.</w:t>
            </w:r>
          </w:p>
        </w:tc>
        <w:tc>
          <w:tcPr>
            <w:tcW w:type="dxa" w:w="2880"/>
          </w:tcPr>
          <w:p>
            <w:r>
              <w:t>Recorded for all participants, including those with few completed runs; for one-run participants the before/after pair spans a single attendance, and post-measurement timing varies by participant.</w:t>
            </w:r>
          </w:p>
        </w:tc>
      </w:tr>
      <w:tr>
        <w:tc>
          <w:tcPr>
            <w:tcW w:type="dxa" w:w="2880"/>
          </w:tcPr>
          <w:p>
            <w:r>
              <w:t>Game cycles</w:t>
            </w:r>
          </w:p>
        </w:tc>
        <w:tc>
          <w:tcPr>
            <w:tcW w:type="dxa" w:w="2880"/>
          </w:tcPr>
          <w:p>
            <w:r>
              <w:t>System-recorded count of completed downhill runs; one cycle is one completed run under the five-attempt rule.</w:t>
            </w:r>
          </w:p>
        </w:tc>
        <w:tc>
          <w:tcPr>
            <w:tcW w:type="dxa" w:w="2880"/>
          </w:tcPr>
          <w:p>
            <w:r>
              <w:t>The archive records completed-run counts, not attended visits: runs are not equated with sessions or visits, and incomplete attempts are not separately recorded.</w:t>
            </w:r>
          </w:p>
        </w:tc>
      </w:tr>
      <w:tr>
        <w:tc>
          <w:tcPr>
            <w:tcW w:type="dxa" w:w="2880"/>
          </w:tcPr>
          <w:p>
            <w:r>
              <w:t>Symptom improvement</w:t>
            </w:r>
          </w:p>
        </w:tc>
        <w:tc>
          <w:tcPr>
            <w:tcW w:type="dxa" w:w="2880"/>
          </w:tcPr>
          <w:p>
            <w:r>
              <w:t>Therapist observation (workbook column), relayed to and compiled by the researcher.</w:t>
            </w:r>
          </w:p>
        </w:tc>
        <w:tc>
          <w:tcPr>
            <w:tcW w:type="dxa" w:w="2880"/>
          </w:tcPr>
          <w:p>
            <w:r>
              <w:t>Not a participant self-report measure; reconciliation with the after-game questionnaire remains outstanding.</w:t>
            </w:r>
          </w:p>
        </w:tc>
      </w:tr>
      <w:tr>
        <w:tc>
          <w:tcPr>
            <w:tcW w:type="dxa" w:w="2880"/>
          </w:tcPr>
          <w:p>
            <w:r>
              <w:t>Satisfaction</w:t>
            </w:r>
          </w:p>
        </w:tc>
        <w:tc>
          <w:tcPr>
            <w:tcW w:type="dxa" w:w="2880"/>
          </w:tcPr>
          <w:p>
            <w:r>
              <w:t>Five-point scale rating recorded per participant via the after-game paper questionnaire.</w:t>
            </w:r>
          </w:p>
        </w:tc>
        <w:tc>
          <w:tcPr>
            <w:tcW w:type="dxa" w:w="2880"/>
          </w:tcPr>
          <w:p>
            <w:r>
              <w:t>Recorded values include 'Very satisfied', 'Satisfied', 'No comments' and 'Dissatisfied'; the exact administered wording, response options and timing have not yet been reproduced. 'No comments' is not a neutral rating; binary contrasts use 'Satisfied'/'Very satisfied' versus all other recorded responses.</w:t>
            </w:r>
          </w:p>
        </w:tc>
      </w:tr>
      <w:tr>
        <w:tc>
          <w:tcPr>
            <w:tcW w:type="dxa" w:w="2880"/>
          </w:tcPr>
          <w:p>
            <w:r>
              <w:t>Verified flag</w:t>
            </w:r>
          </w:p>
        </w:tc>
        <w:tc>
          <w:tcPr>
            <w:tcW w:type="dxa" w:w="2880"/>
          </w:tcPr>
          <w:p>
            <w:r>
              <w:t>Therapist check of the recorded contents (including improvement and cycle counts) against their knowledge of the participant.</w:t>
            </w:r>
          </w:p>
        </w:tc>
        <w:tc>
          <w:tcPr>
            <w:tcW w:type="dxa" w:w="2880"/>
          </w:tcPr>
          <w:p>
            <w:r>
              <w:t>An accuracy check on the record, not a measure of self-efficacy or psychological confidence; one study record could not be verified.</w:t>
            </w:r>
          </w:p>
        </w:tc>
      </w:tr>
    </w:tbl>
    <w:p>
      <w:pPr>
        <w:pStyle w:val="Heading3"/>
      </w:pPr>
      <w:r>
        <w:t>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the recorded symptom-improvement entries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reproduced at 70.0% (95% CI 52.1-83.3%) and the single-completed-run rate at 26.7% (95% CI 14.2-44.4%); (4) the satisfaction association with sustained engagement was confirmed (9/9 versus 11/21; Fisher's exact p = 0.013).</w:t>
      </w:r>
    </w:p>
    <w:p>
      <w:pPr>
        <w:jc w:val="both"/>
      </w:pPr>
      <w:r>
        <w:t>A per-record verification flag complements these checks: the therapist reviewed each record's contents, including the symptom-improvement entry and the completed-cycle count, against their knowledge of the participant; the flag records whether a record's contents could be checked, not any psychological attribute of the participant. One study record could not be verified — that of a female participant aged 72, with one completed run, a recorded index change from 35 to 38, and a recorded satisfaction rating of 'Dissatisfied'. Her subsequent identification and location for verification could not be completed, the reason for her non-return is unknown, and no inference about that reason is drawn; in particular, this case is not treated as evidence of failure-induced abandonment. The record is retained in the primary analysis because eligibility follows the provenance of the record — it originates from an attended study session — and not the favourability of its values.</w:t>
      </w:r>
    </w:p>
    <w:p>
      <w:pPr>
        <w:jc w:val="both"/>
      </w:pPr>
      <w:r>
        <w:t>A sensitivity analysis was computed with and without this record. With all thirty records, the mean FRA index change is +4.03 points (95% CI 0.47–7.60; paired t p = 0.028) and the satisfaction–sustained-engagement association gives Fisher's exact p = 0.013; excluding the unverified record (n = 29), the corresponding values are +4.07 points (95% CI 0.38–7.76; p = 0.032) and p = 0.027. The pattern is similar under both analyses, and the primary analysis reports all thirty records.</w:t>
      </w:r>
    </w:p>
    <w:p>
      <w:pPr/>
      <w:r>
        <w:t>Table 3. Sensitivity analysis of the principal statistics with and without the unverified record. The primary analysis retains all thirty records; eligibility follows record provenance, not the favourability of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Statistic</w:t>
            </w:r>
          </w:p>
        </w:tc>
        <w:tc>
          <w:tcPr>
            <w:tcW w:type="dxa" w:w="2880"/>
          </w:tcPr>
          <w:p>
            <w:r>
              <w:rPr>
                <w:b/>
              </w:rPr>
              <w:t>All records (n = 30)</w:t>
            </w:r>
          </w:p>
        </w:tc>
        <w:tc>
          <w:tcPr>
            <w:tcW w:type="dxa" w:w="2880"/>
          </w:tcPr>
          <w:p>
            <w:r>
              <w:rPr>
                <w:b/>
              </w:rPr>
              <w:t>Unverified record excluded (n = 29)</w:t>
            </w:r>
          </w:p>
        </w:tc>
      </w:tr>
      <w:tr>
        <w:tc>
          <w:tcPr>
            <w:tcW w:type="dxa" w:w="2880"/>
          </w:tcPr>
          <w:p>
            <w:r>
              <w:t>Mean FRA index change (points)</w:t>
            </w:r>
          </w:p>
        </w:tc>
        <w:tc>
          <w:tcPr>
            <w:tcW w:type="dxa" w:w="2880"/>
          </w:tcPr>
          <w:p>
            <w:r>
              <w:t>+4.03</w:t>
            </w:r>
          </w:p>
        </w:tc>
        <w:tc>
          <w:tcPr>
            <w:tcW w:type="dxa" w:w="2880"/>
          </w:tcPr>
          <w:p>
            <w:r>
              <w:t>+4.07</w:t>
            </w:r>
          </w:p>
        </w:tc>
      </w:tr>
      <w:tr>
        <w:tc>
          <w:tcPr>
            <w:tcW w:type="dxa" w:w="2880"/>
          </w:tcPr>
          <w:p>
            <w:r>
              <w:t>95% CI for mean change</w:t>
            </w:r>
          </w:p>
        </w:tc>
        <w:tc>
          <w:tcPr>
            <w:tcW w:type="dxa" w:w="2880"/>
          </w:tcPr>
          <w:p>
            <w:r>
              <w:t>0.47–7.60</w:t>
            </w:r>
          </w:p>
        </w:tc>
        <w:tc>
          <w:tcPr>
            <w:tcW w:type="dxa" w:w="2880"/>
          </w:tcPr>
          <w:p>
            <w:r>
              <w:t>0.38–7.76</w:t>
            </w:r>
          </w:p>
        </w:tc>
      </w:tr>
      <w:tr>
        <w:tc>
          <w:tcPr>
            <w:tcW w:type="dxa" w:w="2880"/>
          </w:tcPr>
          <w:p>
            <w:r>
              <w:t>Paired t test, p</w:t>
            </w:r>
          </w:p>
        </w:tc>
        <w:tc>
          <w:tcPr>
            <w:tcW w:type="dxa" w:w="2880"/>
          </w:tcPr>
          <w:p>
            <w:r>
              <w:t>0.028</w:t>
            </w:r>
          </w:p>
        </w:tc>
        <w:tc>
          <w:tcPr>
            <w:tcW w:type="dxa" w:w="2880"/>
          </w:tcPr>
          <w:p>
            <w:r>
              <w:t>0.032</w:t>
            </w:r>
          </w:p>
        </w:tc>
      </w:tr>
      <w:tr>
        <w:tc>
          <w:tcPr>
            <w:tcW w:type="dxa" w:w="2880"/>
          </w:tcPr>
          <w:p>
            <w:r>
              <w:t>Satisfaction–sustained-engagement association (Fisher's exact test), p</w:t>
            </w:r>
          </w:p>
        </w:tc>
        <w:tc>
          <w:tcPr>
            <w:tcW w:type="dxa" w:w="2880"/>
          </w:tcPr>
          <w:p>
            <w:r>
              <w:t>0.013</w:t>
            </w:r>
          </w:p>
        </w:tc>
        <w:tc>
          <w:tcPr>
            <w:tcW w:type="dxa" w:w="2880"/>
          </w:tcPr>
          <w:p>
            <w:r>
              <w:t>0.027</w:t>
            </w:r>
          </w:p>
        </w:tc>
      </w:tr>
    </w:tbl>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2"/>
      </w:pPr>
      <w:r>
        <w:t>Statistical Analysis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[36]. Associations between binary characteristics and sustained engagement use Fisher's exact test. No time-to-event modelling is used or reported (Section VII-A).</w:t>
      </w:r>
    </w:p>
    <w:p>
      <w:pPr>
        <w:pStyle w:val="Heading1"/>
      </w:pPr>
      <w:r>
        <w:t>Results</w:t>
      </w:r>
    </w:p>
    <w:p>
      <w:pPr>
        <w:pStyle w:val="Heading2"/>
      </w:pPr>
      <w:r>
        <w:t>Recorded Balance-Index Changes</w:t>
      </w:r>
    </w:p>
    <w:p>
      <w:r>
        <w:rPr>
          <w:i/>
          <w:sz w:val="18"/>
        </w:rPr>
        <w:t>Table 4. Recorded FRA index changes,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Improvement (therapist-observed)</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4 reports the recorded index changes for the nine participants who sustained engagement (≥ 4 completed runs — an exploratory grouping, formalised retrospectively around the protocol's three-to-five-play lower bound); this subgroup is defined by subsequent participation rather than by prior assignment, so its favourable changes cannot be read apart from that selection. Across the full sample of thirty, the paired change was +4.0 points (95% CI 0.5-7.6; dz = 0.42, 95% CI 0.05-0.79). A within-deployment change of this size may include measurement variation, familiarisation and practice effects, and is read as a promising signal rather than a demonstrated clinical effect.</w:t>
      </w:r>
    </w:p>
    <w:p>
      <w:r>
        <w:rPr>
          <w:i/>
          <w:sz w:val="18"/>
        </w:rPr>
        <w:t>Table 5. Recorded FRA index changes,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Improvement (therapist-observed)</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Despite minimal engagement, the low-engagement group shows a mean change of +2.8 points with high variability. Only 52% have a recorded rating of Satisfied or better or a therapist-observed improvement entry, against 100% of sustained participants — satisfaction and sustained engagement are strongly associated (Fisher's exact p = 0.013).</w:t>
      </w:r>
    </w:p>
    <w:p>
      <w:pPr>
        <w:pStyle w:val="Heading2"/>
      </w:pPr>
      <w:r>
        <w:t>The Engagement and Non-Return Pattern</w:t>
      </w:r>
    </w:p>
    <w:p>
      <w:r>
        <w:rPr>
          <w:i/>
          <w:sz w:val="18"/>
        </w:rPr>
        <w:t>Table 6.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Of the 21 low-engagement participants, none has a later recorded run within the eight-week window. This absence of documented return within the window distinguishes the pattern from typical usage attrition, in which some users return [7]. Eight participants (26.7%) have a single recorded completed run (Figure 3). No time-to-event model is reported: the archive preserves cycle counts, not timestamps. The evidential core of the pattern is carried by the three directly observed quantities in Table 6 and by the satisfaction association above. Figure 3 shows the participant flow.</w:t>
      </w:r>
    </w:p>
    <w:p>
      <w:r>
        <w:drawing>
          <wp:inline xmlns:a="http://schemas.openxmlformats.org/drawingml/2006/main" xmlns:pic="http://schemas.openxmlformats.org/drawingml/2006/picture">
            <wp:extent cx="4754880" cy="3039792"/>
            <wp:docPr id="2" name="Picture 2"/>
            <wp:cNvGraphicFramePr>
              <a:graphicFrameLocks noChangeAspect="1"/>
            </wp:cNvGraphicFramePr>
            <a:graphic>
              <a:graphicData uri="http://schemas.openxmlformats.org/drawingml/2006/picture">
                <pic:pic>
                  <pic:nvPicPr>
                    <pic:cNvPr id="0" name="thesis_fig_5_5.png"/>
                    <pic:cNvPicPr/>
                  </pic:nvPicPr>
                  <pic:blipFill>
                    <a:blip r:embed="rId10"/>
                    <a:stretch>
                      <a:fillRect/>
                    </a:stretch>
                  </pic:blipFill>
                  <pic:spPr>
                    <a:xfrm>
                      <a:off x="0" y="0"/>
                      <a:ext cx="4754880" cy="3039792"/>
                    </a:xfrm>
                    <a:prstGeom prst="rect"/>
                  </pic:spPr>
                </pic:pic>
              </a:graphicData>
            </a:graphic>
          </wp:inline>
        </w:drawing>
      </w:r>
    </w:p>
    <w:p>
      <w:r>
        <w:rPr>
          <w:i/>
          <w:sz w:val="18"/>
        </w:rPr>
        <w:t>Figure 3. Participant flow diagram (N = 30). Twenty-one participants had three or fewer recorded completed runs, including eight with a single completed run; six formed the F4 cluster, of whom three recorded an improved FRA index in their only recorded run and still never returned. No later recorded run was observed among the 21 (0 of 21).</w:t>
      </w:r>
    </w:p>
    <w:p>
      <w:pPr>
        <w:pStyle w:val="Heading2"/>
      </w:pPr>
      <w:r>
        <w:t>Qualitative Coding and the FIAS Composite</w:t>
      </w:r>
    </w:p>
    <w:p>
      <w:r>
        <w:t>All 30 participants were coded with thirteen binary attributes drawn from STAM constructs and selected Octalysis drives, collapsed onto a 0-10 composite. The composite is a descriptive case-identification device and carries no evidential weight: several attributes record engagement and exit behaviour, so a participant who left early necessarily scores high, and the clustering of the F4 group at the top of the scale is partly true by construction. The attribute labels borrow construct names from STAM and Octalysis as organisational shorthand only: each coding rule operates on recorded behavioural fields — cycle counts, satisfaction ratings, recorded improvement and the therapist verification flag — and none of these fields measures the named psychological construct. The verification flag, in particular, records the therapist's check of recorded contents against their knowledge of the participant, not participant confidence or self-efficacy; no psychological state is inferred from cycle counts or satisfaction ratings in any evidential claim. Every evidential statement in this paper rests on directly observed behaviour — completed-run counts, documented non-return within the window, and the divergence between recorded score direction and return.</w:t>
      </w:r>
    </w:p>
    <w:p>
      <w:r>
        <w:rPr>
          <w:i/>
          <w:sz w:val="18"/>
        </w:rPr>
        <w:t>Table 7.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recorded as Dissatisfied OR (1 completed run AND no observed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Runs ≤ 2 AND no observed improvement AND satisfaction not recorded as Satisfied/Very satisfied</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8.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 (Figure 4). Figure 4 shows the distribution.</w:t>
      </w:r>
    </w:p>
    <w:p>
      <w:r>
        <w:drawing>
          <wp:inline xmlns:a="http://schemas.openxmlformats.org/drawingml/2006/main" xmlns:pic="http://schemas.openxmlformats.org/drawingml/2006/picture">
            <wp:extent cx="4754880" cy="2806386"/>
            <wp:docPr id="3" name="Picture 3"/>
            <wp:cNvGraphicFramePr>
              <a:graphicFrameLocks noChangeAspect="1"/>
            </wp:cNvGraphicFramePr>
            <a:graphic>
              <a:graphicData uri="http://schemas.openxmlformats.org/drawingml/2006/picture">
                <pic:pic>
                  <pic:nvPicPr>
                    <pic:cNvPr id="0" name="p2R2_fig3_distribution.png"/>
                    <pic:cNvPicPr/>
                  </pic:nvPicPr>
                  <pic:blipFill>
                    <a:blip r:embed="rId11"/>
                    <a:stretch>
                      <a:fillRect/>
                    </a:stretch>
                  </pic:blipFill>
                  <pic:spPr>
                    <a:xfrm>
                      <a:off x="0" y="0"/>
                      <a:ext cx="4754880" cy="2806386"/>
                    </a:xfrm>
                    <a:prstGeom prst="rect"/>
                  </pic:spPr>
                </pic:pic>
              </a:graphicData>
            </a:graphic>
          </wp:inline>
        </w:drawing>
      </w:r>
    </w:p>
    <w:p>
      <w:r>
        <w:rPr>
          <w:i/>
          <w:sz w:val="18"/>
        </w:rPr>
        <w:t>Figure 4.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2"/>
      </w:pPr>
      <w:r>
        <w:t>Qualitative Record and the F4 Interview Protocol (Designed, Not Administered)</w:t>
      </w:r>
    </w:p>
    <w:p>
      <w:pPr>
        <w:jc w:val="both"/>
      </w:pPr>
      <w:r>
        <w:t>The qualitative record on the persistence side comprises the post-deployment interviews with the nine sustained participants, conducted one to two days after the eight-week cycle using a paper interview questionnaire (Mandarin or Cantonese at the participant's preference; the researcher's contemporaneous notes are the primary record), together with three centre-manager interviews. The instrument's structure is documented in the author's entry-and-results record (archived with the study data): nine items - memorable experience (free text); enjoyment, FRA usefulness and discouragement (1-5); steering confidence and recovery confidence (0-10); play-again and FRA-again willingness; and reasons (free text). Entered ratings: enjoyment mean 4.3, usefulness 4.7, discouragement 1.9, steering confidence 7.4, recovery confidence 7.7; nine of nine would play again and nine of nine were willing to continue with the FRA. Two of the nine spontaneously remarked that they did not understand why others would not try the system; four criticised the visuals as weak or childish while rating the experience highly; and one record contains an internal contradiction between a disclaimed and an endorsed usefulness judgement, retained as recorded. The exact administered wording awaits verification against the paper forms. These interviews describe the experience of persistence only; they cannot establish the internal reasons of participants who discontinued.</w:t>
      </w:r>
    </w:p>
    <w:p>
      <w:r>
        <w:t>A nine-question semi-structured interview protocol was designed for F4-cluster participants, to probe within days of a participant's last recorded run whether the decision to stop was immediate or deliberate (Table 9); questions 3 and 4 address H2 and H3, question 7 addresses H4, and question 9 probes domain reframing. The protocol was not administered in Stage 2 — the F4 residents' negative reaction to the experience made a research interview inappropriate at the time — and no F4 interview data exist; it is specified for the confirmatory study. The Stage-2 qualitative record comprises the after-game paper questionnaire completed by all thirty participants (the source of the satisfaction data); post-deployment interviews with all nine sustained participants, conducted one to two days after the eight-week cycle in Mandarin or Cantonese via a paper interview questionnaire, with the researcher's notes as the primary record; and three interviews with centre managers capturing the operator perspective. Themes were developed by the researcher from the contemporaneous field notes, compiled through near-daily contact with the therapists over the eight weeks; reported speech from the field notes and interview records is paraphrase unless explicitly marked as verbatim, and observations that run against the proposed mechanism are retained rather than reconciled away (Table 9). Because the sustained-participant interviews sample only those who continued — a subgroup defined by the outcome itself — their content can inform an account of persistence; it cannot establish the internal reasons of the participants who discontinued, which remain undocumented in this deployment and are assigned to the confirmatory study's interview protocol.</w:t>
      </w:r>
    </w:p>
    <w:p>
      <w:r>
        <w:rPr>
          <w:i/>
          <w:sz w:val="18"/>
        </w:rPr>
        <w:t>Table 9.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Discussion</w:t>
      </w:r>
    </w:p>
    <w:p>
      <w:pPr>
        <w:pStyle w:val="Heading2"/>
      </w:pPr>
      <w:r>
        <w:t>Principal Findings: Did Gamification Help? (RQ1)</w:t>
      </w:r>
    </w:p>
    <w:p>
      <w:r>
        <w:t>For the nine who sustained engagement — a subgroup defined by subsequent participation — the recorded change was +6.9 FRA index points (95% CI 4.5-9.3; dz = 2.22), with all nine satisfied or very satisfied; across all thirty, +4.0 points (95% CI 0.5-7.6). These are promising within-deployment signals rather than demonstrated clinical effects.</w:t>
      </w:r>
    </w:p>
    <w:p>
      <w:pPr>
        <w:pStyle w:val="Heading2"/>
      </w:pPr>
      <w:r>
        <w:t>Why Does Abandonment Persist? (RQ2)</w:t>
      </w:r>
    </w:p>
    <w:p>
      <w:r>
        <w:t>The pattern has three defining features. It is early: 70.0% of participants have three or fewer recorded completed runs, and 26.7% have one. It is absolute within the window: none of the 21 has a later recorded run (95% CI 0.0-15.5%), unlike ordinary usage attrition [7]. And it is not accounted for by satisfaction ratings alone: although satisfaction and engagement are strongly associated (p = 0.013), three F4 participants improved on the recorded index in their only recorded run and still never returned. Practical obstacles — usability, staffing, cost, scheduling — do not explain a pattern in which the technology was free, supervised, on site, and in documented cases the recorded index had risen for the person who walked away. The evidence is consistent with a psychological mechanism attached to the meaning of failure. The field notes additionally record the sequence in which the pattern unfolded: several players acknowledged the FRA's benefits and recorded index gains, encountered recurring in-game failures across their second and third cycles, and gave up despite the gains; and as dropouts accumulated, remaining players saw the thinning group, which contributed to further abandonment (field-note record retrieved from the archive during verification; a qualitative sequence, not an instrumented measure).</w:t>
      </w:r>
    </w:p>
    <w:p>
      <w:pPr>
        <w:jc w:val="both"/>
      </w:pPr>
      <w:r>
        <w:t>The table below assembles the qualitative record systematically, pairing each documented finding with its supporting record and the alternative interpretations consistent with the evidence.</w:t>
      </w:r>
    </w:p>
    <w:p>
      <w:pPr/>
      <w:r>
        <w:t>Table 10. Qualitative findings, supporting records, and alternative interpretations.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Supporting record</w:t>
            </w:r>
          </w:p>
        </w:tc>
        <w:tc>
          <w:tcPr>
            <w:tcW w:type="dxa" w:w="2880"/>
          </w:tcPr>
          <w:p>
            <w:r>
              <w:rPr>
                <w:b/>
              </w:rPr>
              <w:t>Alternative interpretation</w:t>
            </w:r>
          </w:p>
        </w:tc>
      </w:tr>
      <w:tr>
        <w:tc>
          <w:tcPr>
            <w:tcW w:type="dxa" w:w="2880"/>
          </w:tcPr>
          <w:p>
            <w:r>
              <w:t>Collapse sequence: players acknowledged the FRA’s benefits and recorded index gains, met recurring in-game failures across their second and third runs, and gave up despite the gains.</w:t>
            </w:r>
          </w:p>
        </w:tc>
        <w:tc>
          <w:tcPr>
            <w:tcW w:type="dxa" w:w="2880"/>
          </w:tcPr>
          <w:p>
            <w:r>
              <w:t>Contemporaneous researcher field notes, compiled from near-daily therapist reports during the eight-week window; a qualitative sequence with no per-participant counts.</w:t>
            </w:r>
          </w:p>
        </w:tc>
        <w:tc>
          <w:tcPr>
            <w:tcW w:type="dxa" w:w="2880"/>
          </w:tcPr>
          <w:p>
            <w:r>
              <w:t>Ordinary attrition (novelty wear-off) coinciding with the second and third runs; the ordering rests on the note-taker’s account, not on instrumented timing.</w:t>
            </w:r>
          </w:p>
        </w:tc>
      </w:tr>
      <w:tr>
        <w:tc>
          <w:tcPr>
            <w:tcW w:type="dxa" w:w="2880"/>
          </w:tcPr>
          <w:p>
            <w:r>
              <w:t>Visible-dropout social channel: remaining players saw the group thinning as dropouts accumulated, which contributed to further abandonment.</w:t>
            </w:r>
          </w:p>
        </w:tc>
        <w:tc>
          <w:tcPr>
            <w:tcW w:type="dxa" w:w="2880"/>
          </w:tcPr>
          <w:p>
            <w:r>
              <w:t>Same field-note record, retrieved from the archive during verification.</w:t>
            </w:r>
          </w:p>
        </w:tc>
        <w:tc>
          <w:tcPr>
            <w:tcW w:type="dxa" w:w="2880"/>
          </w:tcPr>
          <w:p>
            <w:r>
              <w:t>A collective, socially shared narrative about the station (Section XII); visible thinning may reflect, rather than cause, exit decisions already made.</w:t>
            </w:r>
          </w:p>
        </w:tc>
      </w:tr>
      <w:tr>
        <w:tc>
          <w:tcPr>
            <w:tcW w:type="dxa" w:w="2880"/>
          </w:tcPr>
          <w:p>
            <w:r>
              <w:t>Verdict-fear stance: ‘the game is fun… but I do not want it telling me where my health problems are’ — a paraphrase from the researcher’s notes, not a verbatim quotation.</w:t>
            </w:r>
          </w:p>
        </w:tc>
        <w:tc>
          <w:tcPr>
            <w:tcW w:type="dxa" w:w="2880"/>
          </w:tcPr>
          <w:p>
            <w:r>
              <w:t>Stage-2 interview record (researcher’s notes as the primary record).</w:t>
            </w:r>
          </w:p>
        </w:tc>
        <w:tc>
          <w:tcPr>
            <w:tcW w:type="dxa" w:w="2880"/>
          </w:tcPr>
          <w:p>
            <w:r>
              <w:t>The interview record reaches sustained participants and centre managers only; the stance shows the salience of the clinical frame but cannot establish the internal reasons of those who discontinued.</w:t>
            </w:r>
          </w:p>
        </w:tc>
      </w:tr>
      <w:tr>
        <w:tc>
          <w:tcPr>
            <w:tcW w:type="dxa" w:w="2880"/>
          </w:tcPr>
          <w:p>
            <w:r>
              <w:t>Satisfaction and observed symptom improvement tracked engagement: 9/9 sustained participants recorded satisfied or very satisfied, against 11/21 in the low-engagement group.</w:t>
            </w:r>
          </w:p>
        </w:tc>
        <w:tc>
          <w:tcPr>
            <w:tcW w:type="dxa" w:w="2880"/>
          </w:tcPr>
          <w:p>
            <w:r>
              <w:t>Symptom-improvement entries compiled by the researcher from therapists’ near-daily verbal reports (therapists kept no written per-participant records); satisfaction ratings from the after-game questionnaire.</w:t>
            </w:r>
          </w:p>
        </w:tc>
        <w:tc>
          <w:tcPr>
            <w:tcW w:type="dxa" w:w="2880"/>
          </w:tcPr>
          <w:p>
            <w:r>
              <w:t>Selection by outcome: the association may run in reverse, longer participation giving more opportunity for improvement and a positive rating; individual attribution of therapist observations was performed by the researcher at compilation.</w:t>
            </w:r>
          </w:p>
        </w:tc>
      </w:tr>
      <w:tr>
        <w:tc>
          <w:tcPr>
            <w:tcW w:type="dxa" w:w="2880"/>
          </w:tcPr>
          <w:p>
            <w:r>
              <w:t>Gains without return: most low-engagement participants left despite recorded index gains (group mean +2.8), and three F4-cluster members recorded an improved index in their single completed run yet did not return within the observation window.</w:t>
            </w:r>
          </w:p>
        </w:tc>
        <w:tc>
          <w:tcPr>
            <w:tcW w:type="dxa" w:w="2880"/>
          </w:tcPr>
          <w:p>
            <w:r>
              <w:t>Workbook index records paired with documented non-return within the observation window (no later recorded runs, corroborated by field observation).</w:t>
            </w:r>
          </w:p>
        </w:tc>
        <w:tc>
          <w:tcPr>
            <w:tcW w:type="dxa" w:w="2880"/>
          </w:tcPr>
          <w:p>
            <w:r>
              <w:t>Recorded gains of this size may reflect measurement variation or familiarisation; and because no clinical numbers were shown on the play screen, non-return need not have been decided in knowledge of the recorded gain.</w:t>
            </w:r>
          </w:p>
        </w:tc>
      </w:tr>
      <w:tr>
        <w:tc>
          <w:tcPr>
            <w:tcW w:type="dxa" w:w="2880"/>
          </w:tcPr>
          <w:p>
            <w:r>
              <w:t>Sustained-side puzzlement at non-participation: two of nine interviewees said they did not know why others would not try</w:t>
            </w:r>
          </w:p>
        </w:tc>
        <w:tc>
          <w:tcPr>
            <w:tcW w:type="dxa" w:w="2880"/>
          </w:tcPr>
          <w:p>
            <w:r>
              <w:t>Sustained-participant interview entry record (nine records; archived 10 September 2026)</w:t>
            </w:r>
          </w:p>
        </w:tc>
        <w:tc>
          <w:tcPr>
            <w:tcW w:type="dxa" w:w="2880"/>
          </w:tcPr>
          <w:p>
            <w:r>
              <w:t>Politeness or interviewer effect; a sustained-only view that cannot describe non-participants' reasons</w:t>
            </w:r>
          </w:p>
        </w:tc>
      </w:tr>
      <w:tr>
        <w:tc>
          <w:tcPr>
            <w:tcW w:type="dxa" w:w="2880"/>
          </w:tcPr>
          <w:p>
            <w:r>
              <w:t>Aesthetic criticism co-existing with satisfaction: four of nine criticised the visuals as weak or childish while rating enjoyment 4-5</w:t>
            </w:r>
          </w:p>
        </w:tc>
        <w:tc>
          <w:tcPr>
            <w:tcW w:type="dxa" w:w="2880"/>
          </w:tcPr>
          <w:p>
            <w:r>
              <w:t>Same interview entry record</w:t>
            </w:r>
          </w:p>
        </w:tc>
        <w:tc>
          <w:tcPr>
            <w:tcW w:type="dxa" w:w="2880"/>
          </w:tcPr>
          <w:p>
            <w:r>
              <w:t>Cohort-specific taste; consistent with the infantilisation risk raised in expert consultation, but not evidence of its behavioural effect</w:t>
            </w:r>
          </w:p>
        </w:tc>
      </w:tr>
    </w:tbl>
    <w:p>
      <w:pPr>
        <w:pStyle w:val="Heading2"/>
      </w:pPr>
      <w:r>
        <w:t>The FIDS-FIAS Mechanism (RQ3)</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5).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r>
        <w:drawing>
          <wp:inline xmlns:a="http://schemas.openxmlformats.org/drawingml/2006/main" xmlns:pic="http://schemas.openxmlformats.org/drawingml/2006/picture">
            <wp:extent cx="4754880" cy="5714551"/>
            <wp:docPr id="4" name="Picture 4"/>
            <wp:cNvGraphicFramePr>
              <a:graphicFrameLocks noChangeAspect="1"/>
            </wp:cNvGraphicFramePr>
            <a:graphic>
              <a:graphicData uri="http://schemas.openxmlformats.org/drawingml/2006/picture">
                <pic:pic>
                  <pic:nvPicPr>
                    <pic:cNvPr id="0" name="p2_fig5_mechanism.png"/>
                    <pic:cNvPicPr/>
                  </pic:nvPicPr>
                  <pic:blipFill>
                    <a:blip r:embed="rId12"/>
                    <a:stretch>
                      <a:fillRect/>
                    </a:stretch>
                  </pic:blipFill>
                  <pic:spPr>
                    <a:xfrm>
                      <a:off x="0" y="0"/>
                      <a:ext cx="4754880" cy="5714551"/>
                    </a:xfrm>
                    <a:prstGeom prst="rect"/>
                  </pic:spPr>
                </pic:pic>
              </a:graphicData>
            </a:graphic>
          </wp:inline>
        </w:drawing>
      </w:r>
    </w:p>
    <w:p>
      <w:r>
        <w:rPr>
          <w:i/>
          <w:sz w:val="18"/>
        </w:rPr>
        <w:t>Figure 5. Conceptual model of the proposed FIDS-FIAS mechanism and intervention pathways. The left pathway shows the hypothesised failure cascade: a first failure event collapses self-efficacy (FIDS), after which loss aversion — via an endowment-protective reading of the failure — consolidates permanent withdrawal (FIAS). The dashed elements show the two intervention routes for confirmatory testing: domain reframing (H5), which aims to prevent the identity threat from attaching, and the coaching layer, which aims to repair self-efficacy after activation. The mechanism is proposed, not directly measured.</w:t>
      </w:r>
    </w:p>
    <w:p>
      <w:pPr>
        <w:pStyle w:val="Heading2"/>
      </w:pPr>
      <w:r>
        <w:t>Extended Theory: Endowment, Stereotype Threat, and Domain Reframing</w:t>
      </w:r>
    </w:p>
    <w:p>
      <w:r>
        <w:t>Three further perspectives are offered as theory for confirmatory testing, not as findings. The endowment effect [37], [38]: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[39], [40]: activating negative ageing stereotypes degrades older adults' performance, predominantly as self-concept threat [40]; reframing a task from trait measurement to skill activity reduces the threat [41].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documented non-return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2"/>
      </w:pPr>
      <w:r>
        <w:t>A Knowledge-Management Reading: Four Unresolved Links</w:t>
      </w:r>
    </w:p>
    <w:p>
      <w:pPr>
        <w:jc w:val="both"/>
      </w:pPr>
      <w:r>
        <w:t>Read in knowledge-management terms, the deployment shows how far along its intended path the assessment knowledge can be traced and where the record stops. Generation and capture were built into the architecture: the same centre-of-pressure stream that steered the game was converted into FRA indices exported for therapist review, so creation and codification were carried by the system itself. From that point onward, however, four links in the knowledge chain were not individually recorded: what the therapist learned from each participant's assessment output; what, if anything, was communicated back to the participant; how the participant responded to any such communication; and whether that response connected to the participant's later participation. These links are stated here as unresolved questions, not findings. In particular, non-return does not by itself establish that a participant rejected the clinical knowledge the system produced: a person may stop playing while accepting the assessment's content, or keep playing while discounting it, and the archived records cannot distinguish these cases.</w:t>
      </w:r>
    </w:p>
    <w:p>
      <w:pPr>
        <w:jc w:val="both"/>
      </w:pPr>
      <w:r>
        <w:t>What the study adds to knowledge management is therefore a located problem rather than a resolved mechanism. In a system where knowledge generation is automatic, the least documented links were the interpretive and communicative ones between clinician and older user — and it is precisely at the moment of an adverse assessment experience, where the FIDS-FIAS account places its candidate mechanism, that those links would matter most. Recording each link explicitly — what is communicated, how it is received, and what follows — is added to the requirements of the confirmatory programme. This positioning also clarifies the relation to NASSS [47]: NASSS supplies the programme-level map of nonadoption and abandonment across users, technology, organisation and context; FIDS-FIAS, if supported, would contribute one individual-level failure-appraisal mechanism within that map. The two operate at different levels and are complementary.</w:t>
      </w:r>
    </w:p>
    <w:p>
      <w:pPr>
        <w:pStyle w:val="Heading2"/>
      </w:pPr>
      <w:r>
        <w:t>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recorded runs clustered at three or fewer, none of the 21 low-engagement participants has a later recorded run,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One strand of it is nonetheless anchored by a recorded field observation: the investigator's field notes record that remaining players, seeing that many peers had stopped attending, moved toward abandonment themselves - a field-note record retrieved from the archive during verification, not an instrumented measure.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 The pre/post index pair also spans two measurement contexts - standard assessment mode and game play - so recorded change conflates balance change with any effect of the measurement context itself.</w:t>
      </w:r>
    </w:p>
    <w:p>
      <w:pPr>
        <w:pStyle w:val="Heading2"/>
      </w:pPr>
      <w:r>
        <w:t>Design Implications for Practitioners</w:t>
      </w:r>
    </w:p>
    <w:p>
      <w:r>
        <w:t>Four principles follow. They are practice heuristics motivated by the present observations rather than tested interventions: the coaching and reframing elements in particular have not been evaluated and await the confirmatory study.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proposed FIAS risk signals during sessions (satisfaction recorded below 'Satisfied' after the first run;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2"/>
      </w:pPr>
      <w:r>
        <w:t>The Entropy Constraint</w:t>
      </w:r>
    </w:p>
    <w:p>
      <w:r>
        <w:t>The 'entropy constraint' named in this section's title is retained as a conceptual label only, for a structural property of any system that couples play with assessment: when game performance and clinical assessment share one physical action, failure in the game can acquire meaning about the participant's health, and domain reframing aims to confine the meaning of failure to the game domain. No information-theoretic quantity is computed or claimed, and the constraint functions here as a design consideration for the confirmatory study, not as a tested model.</w:t>
      </w:r>
    </w:p>
    <w:p>
      <w:pPr>
        <w:pStyle w:val="Heading2"/>
      </w:pPr>
      <w:r>
        <w:t>Future Work: Industrial Context and the Confirmatory Study</w:t>
      </w:r>
    </w:p>
    <w:p>
      <w:pPr>
        <w:pStyle w:val="Heading3"/>
      </w:pPr>
      <w:r>
        <w:t>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single-completed-run rate from 26.7% toward 10% would substantially reduce cost per continuing user; the full cost-effectiveness analysis belongs to the confirmatory phase.</w:t>
      </w:r>
    </w:p>
    <w:p>
      <w:pPr>
        <w:pStyle w:val="Heading3"/>
      </w:pPr>
      <w:r>
        <w:t>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6).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[42] and SPIRIT-AI [43]; WHO and regulator guidance on AI in health informs the AI component [44], [45]. All hypotheses (H1-H5) and endpoints will be pre-registered before data collection. Figure 6 summarises the design.</w:t>
      </w:r>
      <w:r>
        <w:rPr/>
        <w:t xml:space="preserve"> A first element of the wider programme - a pre-registered 2x2 field experiment crossing adaptive against static presentation and zero-failure against failure-possible modes in a new community cohort - has since been launched; the three-arm coupling study remains the decisive test for the claims of this paper.</w:t>
      </w:r>
    </w:p>
    <w:p>
      <w:r>
        <w:drawing>
          <wp:inline xmlns:a="http://schemas.openxmlformats.org/drawingml/2006/main" xmlns:pic="http://schemas.openxmlformats.org/drawingml/2006/picture">
            <wp:extent cx="4754880" cy="4274589"/>
            <wp:docPr id="5" name="Picture 5"/>
            <wp:cNvGraphicFramePr>
              <a:graphicFrameLocks noChangeAspect="1"/>
            </wp:cNvGraphicFramePr>
            <a:graphic>
              <a:graphicData uri="http://schemas.openxmlformats.org/drawingml/2006/picture">
                <pic:pic>
                  <pic:nvPicPr>
                    <pic:cNvPr id="0" name="p2_fig6_threearm.png"/>
                    <pic:cNvPicPr/>
                  </pic:nvPicPr>
                  <pic:blipFill>
                    <a:blip r:embed="rId13"/>
                    <a:stretch>
                      <a:fillRect/>
                    </a:stretch>
                  </pic:blipFill>
                  <pic:spPr>
                    <a:xfrm>
                      <a:off x="0" y="0"/>
                      <a:ext cx="4754880" cy="4274589"/>
                    </a:xfrm>
                    <a:prstGeom prst="rect"/>
                  </pic:spPr>
                </pic:pic>
              </a:graphicData>
            </a:graphic>
          </wp:inline>
        </w:drawing>
      </w:r>
    </w:p>
    <w:p>
      <w:r>
        <w:rPr>
          <w:i/>
          <w:sz w:val="18"/>
        </w:rPr>
        <w:t>Figure 6. Three-arm confirmatory study design. Arm 1 (control) replicates the present FRA-coupled conditions; Arm 2 (domain reframing) uses the identical game framed as a reaction-speed challenge, testing H5; Arm 3 adds the staff coaching layer to the FRA-coupled condition, testing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2"/>
      </w:pPr>
      <w:r>
        <w:t>Conclusions</w:t>
      </w:r>
    </w:p>
    <w:p>
      <w:r>
        <w:t>This study built and tested a gamified FRA using a dual-purpose input design at a residential care facility in Southern China. Among participants who sustained engagement — a subgroup defined by subsequent participation — the recorded balance index changed by +6.9 points on average (95% CI 4.5-9.3; dz = 2.22), with all nine satisfied or very satisfied; these are recorded changes under a single-group design that does not isolate the causal effect of gamification, not a demonstration that gamification improved balance. But 70.0% never passed three cycles, 26.7% stopped after their first session, no participant returned after disengaging — and three participants whose recorded index improved in their only recorded run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[37], [38] and stereotype-threat [40], [41]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Acknowledgments</w:t>
      </w:r>
    </w:p>
    <w:p>
      <w:r>
        <w:t>The authors thank the management and nursing staff, and the residents of the participating residential care facility in Southern China, for their generous cooperation. Supervision by Prof. Chi Fai Cheung at The Hong Kong Polytechnic University is gratefully acknowledged. AI tooling (Anthropic Claude Code and API services) was used as an enabling technology for game development and difficulty adaptation; the contribution of this paper is the behavioural analysis and the design framework. This research received no external funding.</w:t>
      </w:r>
    </w:p>
    <w:p>
      <w:pPr>
        <w:pStyle w:val="Heading1"/>
      </w:pPr>
      <w:r>
        <w:t>Data Availability</w:t>
      </w:r>
    </w:p>
    <w:p>
      <w:r>
        <w:t>The de-identified Stage-2 dataset (N=30), the derived-variable code and the analysis scripts that reproduce every statistic reported in this paper are held in the study archive and are available from the corresponding author on reasonable request.</w:t>
      </w:r>
    </w:p>
    <w:p>
      <w:pPr>
        <w:pStyle w:val="Heading1"/>
      </w:pPr>
      <w:r>
        <w:t>Authors' Contributions</w:t>
      </w:r>
    </w:p>
    <w:p>
      <w:r>
        <w:t>SKTT conceived the study, developed the gamified system, conducted the fieldwork, performed the analysis and drafted the manuscript. CFC supervised the research programme, contributed to the methodology and critically revised the manuscript. Both authors read and approved the final manuscript.</w:t>
      </w:r>
    </w:p>
    <w:p>
      <w:pPr>
        <w:pStyle w:val="Heading1"/>
      </w:pPr>
      <w:r>
        <w:t>Conflicts of Interest</w:t>
      </w:r>
    </w:p>
    <w:p>
      <w:r>
        <w:t>The authors declare no competing financial or non-financial interests; the lead author holds no financial relationship with Anthropic; the facility was not involved in data analysis or manuscript preparation; the study received no external funding.</w:t>
      </w:r>
    </w:p>
    <w:p>
      <w:pPr>
        <w:pStyle w:val="Heading1"/>
      </w:pPr>
      <w:r>
        <w:t>Abbreviations</w:t>
      </w:r>
    </w:p>
    <w:p>
      <w:r>
        <w:t>AI: artificial intelligence; CI: confidence interval; COM-B: capability, opportunity, motivation-behaviour; COP: centre of pressure; FES-I: Falls Efficacy Scale-International; FIAS: failure-induced abandonment syndrome; FIDS: failure-induced dropout syndrome; FRA: fall risk assessment; RQ: research question; STAM: senior technology acceptance model; TAM: technology acceptance model; WTA: willingness to accept; WTP: willingness to pay.</w:t>
      </w:r>
    </w:p>
    <w:p>
      <w:pPr>
        <w:pStyle w:val="Heading1"/>
      </w:pPr>
      <w:r>
        <w:t>References</w:t>
      </w:r>
    </w:p>
    <w:p>
      <w:r>
        <w:t>[1] NICE, 'Falls in older people: assessing risk and prevention,' Clinical Guideline CG161, London, UK, 2013.</w:t>
      </w:r>
    </w:p>
    <w:p>
      <w:r>
        <w:t>[2] WHO, 'WHO global report on falls prevention in older age,' Geneva, 2007.</w:t>
      </w:r>
    </w:p>
    <w:p>
      <w:r>
        <w:t>[3] H. Guner and C. Acarturk, 'The use and acceptance of ICT by senior citizens: A comparison of TAM for elderly and young adults,' Universal Access Inf. Soc., vol. 19, pp. 311-330, 2020.</w:t>
      </w:r>
    </w:p>
    <w:p>
      <w:r>
        <w:t>[4] G. A. Wildenbos, L. Peute, and M. Jaspers, 'Aging barriers influencing mobile health usability for older adults: MOLD-US,' Int. J. Med. Inform., vol. 114, pp. 66-75, 2018.</w:t>
      </w:r>
    </w:p>
    <w:p>
      <w:r>
        <w:t>[5] D. Hawthorn, 'Interface design and engagement with older people,' Behav. Inf. Technol., vol. 26, no. 4, pp. 333-341, 2007.</w:t>
      </w:r>
    </w:p>
    <w:p>
      <w:r>
        <w:t>[6] H. S. Tsai, R. Shillair, and S. R. Cotten, 'Exploring the role of technology anxiety and self-efficacy in older adults' information seeking,' in Proc. iConference, 2020.</w:t>
      </w:r>
    </w:p>
    <w:p>
      <w:r>
        <w:t>[7] G. Eysenbach, 'The law of attrition,' J. Med. Internet Res., vol. 7, no. 1, e11, 2005.</w:t>
      </w:r>
    </w:p>
    <w:p>
      <w:r>
        <w:t>[8] F. D. Davis, 'Perceived usefulness, perceived ease of use, and user acceptance of information technology,' MIS Quarterly, vol. 13, no. 3, pp. 319-340, 1989.</w:t>
      </w:r>
    </w:p>
    <w:p>
      <w:r>
        <w:t>[9] V. Venkatesh et al., 'User acceptance of information technology: Toward a unified view,' MIS Quarterly, vol. 27, no. 3, pp. 425-478, 2003.</w:t>
      </w:r>
    </w:p>
    <w:p>
      <w:r>
        <w:t>[10] S. Deterding et al., 'From game design elements to gamefulness: Defining gamification,' in Proc. 15th Int. Acad. MindTrek Conf., 2011.</w:t>
      </w:r>
    </w:p>
    <w:p>
      <w:r>
        <w:t>[11] S. An, C. F. Cheung, and K. W. Willoughby, 'A gamification approach for enhancing older adults' technology adoption and knowledge transfer,' Technol. Forecast. Soc. Change, vol. 205, 2024.</w:t>
      </w:r>
    </w:p>
    <w:p>
      <w:r>
        <w:t>[12] S. M. Kelders et al., 'Persuasive system design does matter: A systematic review of adherence to web-based interventions,' J. Med. Internet Res., vol. 14, no. 6, e152, 2012.</w:t>
      </w:r>
    </w:p>
    <w:p>
      <w:r>
        <w:t>[13] H. Christensen, K. M. Griffiths, and L. Farrer, 'Adherence in internet interventions for anxiety and depression,' J. Med. Internet Res., vol. 11, no. 2, e13, 2009.</w:t>
      </w:r>
    </w:p>
    <w:p>
      <w:r>
        <w:t>[14] C. Lee and J. F. Coughlin, 'Older adults' adoption of technology: An integrated approach,' Geriatr. Gerontol. Int., vol. 15, no. 5, pp. 519-525, 2015.</w:t>
      </w:r>
    </w:p>
    <w:p>
      <w:r>
        <w:t>[15] G. Grossi, R. Ferrario, and V. Tosi, 'Barriers and facilitators to health technology adoption by older adults with chronic diseases,' BMC Geriatrics, vol. 24, no. 189, 2024.</w:t>
      </w:r>
    </w:p>
    <w:p>
      <w:r>
        <w:t>[16] M. E. Tinetti and L. Powell, 'Fear of falling and low self-efficacy: A cause of dependence in elderly persons,' J. Gerontol., vol. 48, pp. 35-38, 1993.</w:t>
      </w:r>
    </w:p>
    <w:p>
      <w:r>
        <w:t>[17] L. Yardley et al., 'Development and initial validation of the Falls Efficacy Scale-International (FES-I),' Age Ageing, vol. 34, no. 6, pp. 614-619, 2005.</w:t>
      </w:r>
    </w:p>
    <w:p>
      <w:r>
        <w:t>[18] A. C. Scheffer et al., 'Fear of falling: Measurement strategy, prevalence, risk factors and consequences among older persons,' Age Ageing, vol. 37, no. 1, pp. 19-24, 2008.</w:t>
      </w:r>
    </w:p>
    <w:p>
      <w:r>
        <w:t>[19] J. Koivisto and A. Malik, 'Gamification for older adults: A systematic literature review,' Gerontologist, vol. 61, no. 7, pp. 360-372, 2021.</w:t>
      </w:r>
    </w:p>
    <w:p>
      <w:r>
        <w:t>[20] K. Chen and A. H. S. Chan, 'Gerontechnology acceptance by elderly Hong Kong Chinese: STAM,' Ergonomics, vol. 57, no. 5, pp. 635-652, 2014.</w:t>
      </w:r>
    </w:p>
    <w:p>
      <w:r>
        <w:t>[21] Y.-K. Chou, Actionable Gamification: Beyond Points, Badges, and Leaderboards. Fremont, CA: Octalysis Media, 2015.</w:t>
      </w:r>
    </w:p>
    <w:p>
      <w:r>
        <w:t>[22] A. Bandura, Self-Efficacy: The Exercise of Control. New York: W. H. Freeman, 1997.</w:t>
      </w:r>
    </w:p>
    <w:p>
      <w:r>
        <w:t>[23] D. R. Compeau and C. A. Higgins, 'Computer self-efficacy: Development of a measure and initial test,' MIS Quarterly, vol. 19, no. 2, pp. 189-211, 1995.</w:t>
      </w:r>
    </w:p>
    <w:p>
      <w:r>
        <w:t>[24] D. Kahneman and A. Tversky, 'Prospect theory: An analysis of decision under risk,' Econometrica, vol. 47, no. 2, pp. 263-291, 1979.</w:t>
      </w:r>
    </w:p>
    <w:p>
      <w:r>
        <w:t>[25] A. Tversky and D. Kahneman, 'Advances in prospect theory: Cumulative representation of uncertainty,' J. Risk Uncertain., vol. 5, no. 4, pp. 297-323, 1992.</w:t>
      </w:r>
    </w:p>
    <w:p>
      <w:r>
        <w:t>[26] B. S. Frey and R. Jegen, 'Motivation crowding theory,' J. Econ. Surv., vol. 15, no. 5, pp. 589-611, 2001.</w:t>
      </w:r>
    </w:p>
    <w:p>
      <w:r>
        <w:t>[27] E. L. Deci and R. M. Ryan, Intrinsic Motivation and Self-Determination in Human Behavior. New York: Plenum, 1985.</w:t>
      </w:r>
    </w:p>
    <w:p>
      <w:r>
        <w:t>[28] S. Michie, M. M. van Stralen, and R. West, 'The behaviour change wheel,' Implement. Sci., vol. 6, no. 42, 2011.</w:t>
      </w:r>
    </w:p>
    <w:p>
      <w:r>
        <w:t>[29] C. E. Shannon, 'A mathematical theory of communication,' Bell Syst. Tech. J., vol. 27, pp. 379-423, 623-656, 1948.</w:t>
      </w:r>
    </w:p>
    <w:p>
      <w:r>
        <w:t>[30] E. T. Stringer, Action Research, 4th ed. Thousand Oaks, CA: SAGE, 2014.</w:t>
      </w:r>
    </w:p>
    <w:p>
      <w:r>
        <w:t>[31] K. Lewin, 'Action research and minority problems,' J. Soc. Issues, vol. 2, no. 4, pp. 34-46, 1946.</w:t>
      </w:r>
    </w:p>
    <w:p>
      <w:r>
        <w:t>[32] Standing Committee NPC, 'Personal Information Protection Law of the People's Republic of China,' Beijing, effective 1 November 2021.</w:t>
      </w:r>
    </w:p>
    <w:p>
      <w:r>
        <w:t>[33] S. H. Kim et al., 'Introduction of Fall Risk Assessment system and cross-sectional validation among community-dwelling older adults,' Int. J. Environ. Res. Public Health, vol. 16, no. 5, p. 740, 2019.</w:t>
      </w:r>
    </w:p>
    <w:p>
      <w:r>
        <w:t>[34] S. H. Kim et al., 'Test-retest reliability and sensitivity to change of a new Fall Risk Assessment system,' Int. J. Environ. Res. Public Health, vol. 17, no. 14, p. 5082, 2020.</w:t>
      </w:r>
    </w:p>
    <w:p>
      <w:r>
        <w:t>[35] L. Festinger, 'A theory of social comparison processes,' Hum. Relat., vol. 7, no. 2, pp. 117-140, 1954.</w:t>
      </w:r>
    </w:p>
    <w:p>
      <w:r>
        <w:t>[36] J. Cohen, Statistical Power Analysis for the Behavioral Sciences, 2nd ed. Hillsdale, NJ: Erlbaum, 1988.</w:t>
      </w:r>
    </w:p>
    <w:p>
      <w:r>
        <w:t>[37] R. Thaler, 'Toward a positive theory of consumer choice,' J. Econ. Behav. Organ., vol. 1, no. 1, pp. 39-60, 1980.</w:t>
      </w:r>
    </w:p>
    <w:p>
      <w:r>
        <w:t>[38] D. Kahneman, J. L. Knetsch, and R. H. Thaler, 'Experimental tests of the endowment effect and the Coase theorem,' J. Political Econ., vol. 98, no. 6, pp. 1325-1348, 1990.</w:t>
      </w:r>
    </w:p>
    <w:p>
      <w:r>
        <w:t>[39] R. A. Dionigi, 'Stereotypes of aging: Their effects on the health of older adults,' J. Geriatr., vol. 2015, art. 954027, 2015.</w:t>
      </w:r>
    </w:p>
    <w:p>
      <w:r>
        <w:t>[40] S. J. Barber, 'An examination of age-based stereotype threat about cognitive decline,' Perspect. Psychol. Sci., vol. 12, no. 1, pp. 62-90, 2017.</w:t>
      </w:r>
    </w:p>
    <w:p>
      <w:r>
        <w:t>[41] M. S. McGlone and J. Aronson, 'Stereotype threat, identity salience, and spatial reasoning,' J. Appl. Dev. Psychol., vol. 27, no. 5, pp. 486-493, 2006.</w:t>
      </w:r>
    </w:p>
    <w:p>
      <w:r>
        <w:t>[42] E. von Elm et al., 'STROBE statement: Guidelines for reporting observational studies,' Ann. Intern. Med., vol. 147, no. 8, pp. 573-577, 2007.</w:t>
      </w:r>
    </w:p>
    <w:p>
      <w:r>
        <w:t>[43] X. Liu et al., 'Reporting guidelines for clinical trials evaluating artificial intelligence interventions (SPIRIT-AI/CONSORT-AI),' Nature Med., vol. 26, pp. 1364-1374, 2020.</w:t>
      </w:r>
    </w:p>
    <w:p>
      <w:r>
        <w:t>[44] WHO, 'Ethics and governance of artificial intelligence for health,' Geneva, 2021.</w:t>
      </w:r>
    </w:p>
    <w:p>
      <w:r>
        <w:t>[45] FDA, Health Canada, and MHRA, 'Good Machine Learning Practice for Medical Device Development: Guiding Principles,' 2021.</w:t>
      </w:r>
    </w:p>
    <w:p>
      <w:r>
        <w:t>[46]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Mar. 2026, Conference Publishing Services (CPS), in press (IEEE Xplore).</w:t>
      </w:r>
    </w:p>
    <w:p>
      <w:pPr/>
      <w:r>
        <w:t>[47] T. Greenhalgh, J. Wherton, C. Papoutsi, J. Lynch, G. Hughes, C. A'Court, S. Hinder, N. Fahy, R. Procter, and S. Shaw, 'Beyond adoption: A new framework for theorizing and evaluating nonadoption, abandonment, and challenges to the scale-up, spread, and sustainability of health and care technologies,' J. Med. Internet Res., vol. 19, no. 11, e367,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Failure-Induced Abandonment of a Gamified AI-Assisted FRA: Action Research Study</dc:title>
  <dc:subject/>
  <dc:creator>python-docx</dc:creator>
  <cp:keywords/>
  <dc:description>JMIR build; F4 protocol corrected to designed-not-administered.</dc:description>
  <cp:lastModifiedBy/>
  <cp:revision>1</cp:revision>
  <dcterms:created xsi:type="dcterms:W3CDTF">2013-12-23T23:15:00Z</dcterms:created>
  <dcterms:modified xsi:type="dcterms:W3CDTF">2013-12-23T23:15:00Z</dcterms:modified>
  <cp:category/>
</cp:coreProperties>
</file>