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abandonment, with no documented return within the observation window, of a gamified, AI-assisted Fall Risk Assessment (FRA) by elderly residents after early failure: 70.0% had three or fewer recorded completed game runs and none of the 21 low-engagement participants had a later recorded run,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end-of-window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had three or fewer recorded completed runs, 26.7% had a single completed run, and none of the 21 low-engagement participants had a later recorded run within the study window (95% CI 0.0-15.5%) [2]. Most strikingly, three of the six participants in the strongest-abandonment cluster recorded a positive change in the balance index in their only recorded run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family and personal contacts,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 The programme operates under the ethics policy of The Hong Kong Polytechnic University; the programme was approved by the university's Human Subjects Ethics Sub-Committee (application reference HSEARS20260805008; Principal Investigator: Prof. C. F. Cheung; approved 6 August 2026 (approval period 16 June 2024 to 30 October 2026)).</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end-of-window retention in the 65-80 band (returned dropouts counted as retained),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r>
        <w:rPr/>
        <w:t xml:space="preserve"> Stated at the level of theory, the joint pattern is a candidate boundary condition for gamification theory: the theory holds for this population until the gamified activity is attached to a clinical verdict frame that touches identity-level value, and at that attachment the failure pattern of [2] appears. The randomised comparison is the test that can convert the boundary from candidate to claim.</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end-of-window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r>
        <w:rPr/>
        <w:t xml:space="preserve"> Two further rivals are named rather than left implicit. Ordinary attrition is frame-indifferent and therefore does not predict the between-cohort difference in post-failure return, though the package confounds above bound that inference. And because the [2] cohort lived with the station - a common-room setting in which a shared narrative about what the machine signifies can circulate - while the present participants played dispersed and alone, the decoupling package also removed the group narrative environment; a collective-narrative account of non-use is therefore conceded as a plausible component of the between-cohort difference - one strand of which is anchored by a recorded Stage-2 field observation of peers' visible dropout contributing to abandonment [2], and group-level instrumentation is added to the requirements of the confirmatory study.</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r>
        <w:rPr/>
        <w:t xml:space="preserve"> Since this manuscript was drafted, a first pre-registered element of the wider programme has been launched: a 2x2 field experiment crossing adaptive against static presentation with zero-failure against failure-possible modes in a new community cohort. It tests the adaptive-learning direction of Section V-C rather than the coupling claim; the three-arm study above remains the decisive test of coupling, and its instrumentation now includes a group-level component in response to the collective-narrative rival.</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Declarations</w:t>
      </w:r>
    </w:p>
    <w:p>
      <w:pPr>
        <w:jc w:val="both"/>
      </w:pPr>
      <w:r>
        <w:t>Funding. This research received no external funding.</w:t>
      </w:r>
    </w:p>
    <w:p>
      <w:pPr>
        <w:jc w:val="both"/>
      </w:pPr>
      <w:r>
        <w:t>Conflicts of interest. The authors declare no competing financial interests. The Stage-2 study reported in [2] was conducted in partnership with the residential care provider operating that facility; the provider had no role in the present study. Participants in the present study were volunteers recruited through the authors' networks.</w:t>
      </w:r>
    </w:p>
    <w:p>
      <w:pPr>
        <w:jc w:val="both"/>
      </w:pPr>
      <w:r>
        <w:t>Data availability. The preliminary aggregate record underlying this paper is compiled in the Stage-3 data logbook archived with the first author's thesis; participant-level compilation from the returned files continues, as stated in Section II. De-identified records are available from the corresponding author on reasonable request, subject to the ethics constraints governing the programme.</w:t>
      </w:r>
    </w:p>
    <w:p>
      <w:pPr>
        <w:jc w:val="both"/>
      </w:pPr>
      <w:r>
        <w:t>Use of artificial intelligence. Anthropic's Claude Code was used as an engineering assistant during system development, including the HTML port deployed in this study; the engineering decisions remain the developers' own. AI-assisted drafting and editing tools were used in manuscript preparation under full author review and responsibility.</w:t>
      </w:r>
    </w:p>
    <w:p>
      <w:pPr>
        <w:jc w:val="both"/>
      </w:pPr>
      <w:r>
        <w:t>Related publications. A conference paper (Tam &amp; Cheung, ICMSS 2026 [1]) reports the programme's Stage-1 critical review, and a companion manuscript [2] reports the Stage-2 coupled deployment; this paper reports the Stage-3 decoupled deployment. No results are duplicated across the three.</w:t>
      </w:r>
    </w:p>
    <w:p>
      <w:pPr>
        <w:pStyle w:val="Heading1"/>
      </w:pPr>
      <w:r>
        <w:t>References</w:t>
      </w:r>
    </w:p>
    <w:p>
      <w: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