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Gamification as a Proactive Approach: A Study of Elderly Failure-Induced Abandonment in Gamified Fall Risk Assessment</w:t>
      </w:r>
    </w:p>
    <w:p>
      <w:r>
        <w:rPr>
          <w:b w:val="0"/>
        </w:rPr>
        <w:t>Sidney K. T. Tam and Chi Fai Cheung</w:t>
        <w:br/>
        <w:t>Behaviour and Knowledge Engineering Research Centre, Department of Industrial and Systems Engineering, The Hong Kong Polytechnic University, Hong Kong, China</w:t>
        <w:br/>
        <w:t>Corresponding author: sidney.tam@connect.polyu.hk</w:t>
      </w:r>
    </w:p>
    <w:p>
      <w:r>
        <w:rPr>
          <w:b/>
        </w:rPr>
        <w:t>Abstract</w:t>
      </w:r>
    </w:p>
    <w:p>
      <w:r>
        <w:rPr>
          <w:b w:val="0"/>
        </w:rPr>
        <w:t>Fall Risk Assessment (FRA) systems are, in knowledge-management terms, knowledge infrastructures: they convert balance telemetry into clinical knowledge and return it to the elderly user. Yet at the study facility only 39% of 200 surveyed residents had ever used the installed FRA, and most who failed at first use never returned. This paper reports an eight-week action-research deployment of a gamified, AI-assisted FRA with thirty residents (aged 62-84) of a Southern China care facility, in which one weight-shifting action steers a skiing game while yielding the clinical balance measurement. Seventy per cent of participants (21/30; 95% CI 52.1-83.3%) disengaged at or before three game cycles, and none re-engaged within the study window (0/21; 95% CI 0.0-15.5%) - including three participants whose recorded balance index improved during their only session. The knowledge was created, captured and delivered; its acceptance collapsed. Two working hypotheses are advanced - Failure-Induced Dropout (self-efficacy collapse) and Failure-Induced Abandonment (loss-averse rejection of unwelcome knowledge about one's own body) - with four falsifiable predictions and a domain-reframing hypothesis specified for a preregistered three-arm study. Practitioner guidance for knowledge-bearing technologies serving older users is derived.</w:t>
      </w:r>
    </w:p>
    <w:p>
      <w:r>
        <w:rPr>
          <w:b w:val="0"/>
        </w:rPr>
        <w:t>Keywords: knowledge management; gamification; older adults; fall risk assessment; technology abandonment; knowledge acceptance; self-efficacy; loss aversion; artificial intelligence; action research</w:t>
      </w:r>
    </w:p>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not only lowers interest but can produce an identity-driven negative reaction.</w:t>
      </w:r>
    </w:p>
    <w:p>
      <w:pPr>
        <w:pStyle w:val="Heading2"/>
      </w:pPr>
      <w:r>
        <w:t>H. Behaviour-Change Lens: COM-B</w:t>
      </w:r>
    </w:p>
    <w:p>
      <w:r>
        <w:t>In COM-B terms (Michie et al., 2011),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 entropy, H(p) = −Σ pᵢ log₂ pᵢ (Shannon, 1948),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2"/>
      </w:pPr>
      <w:r>
        <w:t>J. 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The programme operates under the ethics policy of The Hong Kong Polytechnic University and in accordance with the Declaration of Helsinki; an application covering the programme, including the characterisation of the Stage-2 consent arrangement, has been submitted to the university's Human Subjects Ethics Sub-Committee and is under review (application HSEARS20260805008). The procedure itself is reported exactly as conducted. The facility's management, operators and nursing team approved and supported the deployment (gatekeeper consent, recorded); residents were invited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from the sustained participants at the close of the eight-week cycle; all data were pseudonymised at collection, and no identifiers were transmitted to third-party services. Trained facility personnel remained present throughout sessions, with non-slip flooring and grab rails in reach, and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fall-risk markers identified at initial assessment. Over eight weeks, each resident was exposed to both the standard FRA and the gamified FRA. This was a within-participant observational study of dropout patterns, not a randomised controlled trial.</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shows the deployed presentation across the five difficulty levels.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the successor build in the same design lineage as the deployed system.</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1"/>
      </w:pPr>
      <w:r>
        <w:t>VII. Data Collection and Measures</w:t>
      </w:r>
    </w:p>
    <w:p>
      <w:r>
        <w:t>Each session involved: baseline FRA index on the InBody machine; performance on the gamified task; a five-point satisfaction rating; and self-reported symptom change at follow-up. Five variables were collected per participant: V1 cycles completed; V2 pre/post FRA index; V3 symptom change; V4 satisfaction; V5 age and gender.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No time-to-event modelling is used or reported (Section VII-A).</w:t>
      </w:r>
    </w:p>
    <w:p>
      <w:pPr>
        <w:pStyle w:val="Heading2"/>
      </w:pPr>
      <w:r>
        <w:t>B. 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3 reports the low-engagement group: despite minimal engagement, it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C. 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(Eysenbach, 2005). The 26.7% single-session exit rate marks the first session as the highest-risk point (Figure 5). No time-to-event model is reported: the archive preserves cycle counts, not timestamps. The evidential core of the pattern is carried by the three directly observed quantities in Table 4 and by the satisfaction association above.</w:t>
      </w:r>
    </w:p>
    <w:p>
      <w:r>
        <w:rPr>
          <w:i/>
          <w:sz w:val="18"/>
        </w:rPr>
        <w:t>Figure 5. Participant flow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1"/>
      </w:pPr>
      <w:r>
        <w:t>IX. Qualitative Coding and the FIAS Composite</w:t>
      </w:r>
    </w:p>
    <w:p>
      <w:r>
        <w:t>All 30 participants were coded with thirteen binary attributes (Table 5)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6;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Qualitative Record and the F4 Interview Protocol (Designed, Not Administered)</w:t>
      </w:r>
    </w:p>
    <w:p>
      <w:r>
        <w:t>A nine-question semi-structured interview protocol was designed for F4-cluster participants, to probe within days of an abandoned session whether the decision to stop was immediate or deliberate (Table 7); questions 3 and 4 address H2 and H3, question 7 addresses H4, and question 9 probes domain reframing. The protocol was not administered in the present deployment - the F4 residents' negative reaction to the experience made a research interview inappropriate at the time - and no F4 interview data exist; it is specified for the confirmatory study. The deployment's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B. RQ2: Why Does Abandonment Persist?</w:t>
      </w:r>
    </w:p>
    <w:p>
      <w:r>
        <w:t>The pattern has three defining features. It is early: 70.0% disengaged at or before three cycles, 26.7% after one session. It is absolute within the window: none of 21 disengaged participants returned (95% CI 0.0-15.5%), unlike ordinary usage attrition (Eysenbach, 2005).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p>
    <w:p>
      <w:pPr>
        <w:pStyle w:val="Heading1"/>
      </w:pPr>
      <w:r>
        <w:t>XIII. 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(in press). A study of utilisation of Fall Risk Assessment among elderly users: A critical review through TAM and Octalysis frameworks with gamification approach.</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a Proactive Approach (JIKM submission)</dc:title>
  <dc:subject/>
  <dc:creator/>
  <cp:keywords/>
  <dc:description>JIKM build from KM-framed manuscript; F4 and ethics corrected; unblinded.</dc:description>
  <cp:lastModifiedBy/>
  <cp:revision>1</cp:revision>
  <dcterms:created xsi:type="dcterms:W3CDTF">2013-12-23T23:15:00Z</dcterms:created>
  <dcterms:modified xsi:type="dcterms:W3CDTF">2013-12-23T23:15:00Z</dcterms:modified>
  <cp:category/>
</cp:coreProperties>
</file>