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presentation of the activity as a purely-fun coordination game (the invitation disclosed the doctoral research context, including its fall-risk origin, but the game and its instructions carried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The invitation e-mails disclosed the research context, including the programme's fall-risk origin, while presenting the activity itself as a purely-fun coordination game; the game and its instructions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w:t>
      </w:r>
      <w:r>
        <w:t xml:space="preserve"> The programme operates under the ethics policy of The Hong Kong Polytechnic University; an application covering the programme has been submitted to the university's Human Subjects Ethics Sub-Committee and is under review (application HSEARS20260805008).</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the invitation disclosed the programme's fall-risk research origin, so Stage 3 tests artefact-level decoupling rather than concealment of purpose;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recruitment language corrected to artefact-level decoupling.</dc:description>
  <cp:lastModifiedBy/>
  <cp:revision>1</cp:revision>
  <dcterms:created xsi:type="dcterms:W3CDTF">2013-12-23T23:15:00Z</dcterms:created>
  <dcterms:modified xsi:type="dcterms:W3CDTF">2013-12-23T23:15:00Z</dcterms:modified>
  <cp:category/>
</cp:coreProperties>
</file>