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 Introduction</w:t>
      </w:r>
    </w:p>
    <w:p>
      <w:r>
        <w:t>Falls are the leading cause of injury-related hospitalisation in adults aged 65 or older (NICE, 2013; WHO, 2007).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(Tam &amp; Cheung, in press).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(Guner &amp; Acarturk, 2020; Wildenbos et al., 2018), partly through low self-efficacy and a growing perception of age-related limitation (Hawthorn, 2007; Tsai et al., 2020). Eysenbach (2005) argued that abandonment is the most common outcome of digital health interventions and called for a 'science of attrition'. The adoption frameworks in wide use — TAM and its extensions — concern what makes people start using a system and have little to say about what happens after a user fails (Davis, 1989; Venkatesh et al., 2003).</w:t>
      </w:r>
    </w:p>
    <w:p>
      <w:r>
        <w:t>Gamification has been proposed as one route to better engagement among older adults (Deterding et al., 2011). An, Cheung and Willoughby (2024) reported that a gamified learning system lifted perceived usefulness, ease of use and behavioural intention among older participants within a single session, while noting that their design could not show whether people return after experiencing failure, and calling for work on post-adoption obstacles. That call motivated the present study.</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and permanent attrition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(2020) found that TAM remains useful in predicting which technologies older adults choose to use. Wildenbos et al. (2018) organised ageing barriers into cognitive, physical, perceptual and motivational types, with motivational aspects the least addressed. Hawthorn (2007) observed that many elderly people read their age as evidence against their ability to learn new technologies, and Tsai et al. (2020) found technology anxiety peaking at first use. Lee and Coughlin (2015) noted that older adults respond better to training structured around explicit goals, and reviews report that reluctance toward health technologies is often driven by perceived threats to autonomy and independence (Grossi et al., 2024).</w:t>
      </w:r>
    </w:p>
    <w:p>
      <w:pPr>
        <w:pStyle w:val="Heading2"/>
      </w:pPr>
      <w:r>
        <w:t>B. Positioning Against the Science of Attrition</w:t>
      </w:r>
    </w:p>
    <w:p>
      <w:r>
        <w:t>Eysenbach's (2005) 'law of attrition' distinguished usage attrition from research dropout; the users in this study fall into the former group. Kelders et al. (2012) found persuasive features and human involvement the strongest indicators of long-term adherence; Christensen et al. (2009) noted that the psychological mechanisms beneath adherence remain poorly understood. None of this literature explains why, specifically among frail older adults using FRA systems, abandonment after first failure is rapid, persistent and immune to redesign. FIAS is intended to fill this gap.</w:t>
      </w:r>
    </w:p>
    <w:p>
      <w:pPr>
        <w:pStyle w:val="Heading2"/>
      </w:pPr>
      <w:r>
        <w:t>C. Fear of Falling</w:t>
      </w:r>
    </w:p>
    <w:p>
      <w:r>
        <w:t>Fear of falling denotes persistent fear that results in activity avoidance even when the person is physically capable (Scheffer et al., 2008; Tinetti &amp; Powell, 1993). Yardley et al. (2005) developed the Falls Efficacy Scale-International (FES-I), capturing falls-related self-efficacy across sixteen everyday activities.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permanent abandonment (H1).</w:t>
      </w:r>
    </w:p>
    <w:p>
      <w:pPr>
        <w:pStyle w:val="Heading2"/>
      </w:pPr>
      <w:r>
        <w:t>D. Gamification and Elderly Health Technology</w:t>
      </w:r>
    </w:p>
    <w:p>
      <w:r>
        <w:t>Gamification applies game-design elements in non-game contexts (Deterding et al., 2011); work with older adults has concentrated on physical activity and cognitive training, (Koivisto &amp; Malik, 2021). An et al. (2024) is the closest precedent: improvements in perceived usefulness, ease of use and behavioural intention among 115 participants aged 50-75, with gamification effectiveness the strongest predictor of ease of use (An et al., 2024).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(Davis, 1989); UTAUT adds social influence and facilitating conditions (Venkatesh et al., 2003); STAM extends these for older users with gerontechnology self-efficacy and anxiety (Chen &amp; Chan, 2014); and the Octalysis framework describes eight core drives of engagement with game designs (Chou, 2015). None of these frameworks addresses the response to failure: all treat engagement as continuous or increasing under appropriate design.</w:t>
      </w:r>
    </w:p>
    <w:p>
      <w:pPr>
        <w:pStyle w:val="Heading2"/>
      </w:pPr>
      <w:r>
        <w:t>F. Self-Efficacy, Prospect Theory, and the FIDS-FIAS Transition</w:t>
      </w:r>
    </w:p>
    <w:p>
      <w:r>
        <w:t>Bandura's (1997) work indicates that self-efficacy determines effort and persistence in the face of adversity, and computer self-efficacy shapes system use (Compeau &amp; Higgins, 1995). A frail older adult who fails an FRA task may experience a collapse of technology self-efficacy leading to disengagement — the mechanism denoted FIDS. Prospect Theory explains why re-engagement may not follow (Kahneman &amp; Tversky, 1979; Tversky &amp; Kahneman, 1992): people evaluate outcomes relative to a reference point, and losses loom roughly twice as large as commensurate gains. For an elderly person, the reference point is their sense of their own physical capability; failure delivers unwelcome news about it, and returning risks more. The psychological cost outweighs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(2001) motivation-crowding effect names the erosion of intrinsic motivation by external evaluation; Deci and Ryan's (1985) basic needs — autonomy, competence, relatedness — ground intrinsic motivation. When a game is linked directly to health evaluation, play becomes assessment. For older adults already carrying low self-efficacy and high health anxiety, the coupling not only lowers interest but can produce an identity-driven negative reaction.</w:t>
      </w:r>
    </w:p>
    <w:p>
      <w:pPr>
        <w:pStyle w:val="Heading2"/>
      </w:pPr>
      <w:r>
        <w:t>H. Behaviour-Change Lens: COM-B</w:t>
      </w:r>
    </w:p>
    <w:p>
      <w:r>
        <w:t>In COM-B terms (Michie et al., 2011), the adaptive difficulty engine manages capability and on-site deployment provides opportunity; the FIAS pattern lives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 entropy, H(p) = −Σ pᵢ log₂ pᵢ (Shannon, 1948), is used here as a conceptual lens, not a quantitative model. At the start of a session an elderly participant typically holds an open belief state about what the outcome might mean (high entropy). A failure can collapse that state toward a single conviction — 'this technology is not for me' (low entropy) — after which positive feedback must travel through a channel already dominated by negative information, including negative accounts circulating among residents. No entropy quantities are computed in this study; the confirmatory study will elicit outcome probability distributions before and after sessions so that entropy over those distributions can serve as a measure of belief openness.</w:t>
      </w:r>
    </w:p>
    <w:p>
      <w:pPr>
        <w:pStyle w:val="Heading2"/>
      </w:pPr>
      <w:r>
        <w:t>J. Research Gap</w:t>
      </w:r>
    </w:p>
    <w:p>
      <w:r>
        <w:t>No existing framework covers the full arc from initial adoption through failure to permanent abandonment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permanently abandon a gamified FRA after first failure: 70.0% low engagement (95% CI 52.1-83.3%), 26.7% single-session exit (95% CI 14.2-44.4%), and zero re-engagement among all 21 disengaged participants (95% CI 0.0-15.5%) over eight weeks — including three participants whose recorded balance index improved in their only session. Second, it offers a mechanistic account linking self-efficacy collapse at first failure with subsequent permanent abandonment driven by loss aversion, with four falsifiable predictions (H1-H4). Third, it presents a framework for failure-aware coaching in health-assessment gamification, including an entropy-constraint concept, observable risk signals and an intervention specification congruent with COM-B.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IV. Research Design, Ethics and Participants</w:t>
      </w:r>
    </w:p>
    <w:p>
      <w:pPr>
        <w:pStyle w:val="Heading2"/>
      </w:pPr>
      <w:r>
        <w:t>A. Action-Research Methodology</w:t>
      </w:r>
    </w:p>
    <w:p>
      <w:r>
        <w:t>An action-research methodology was followed throughout (Lewin, 1946; Stringer, 2014),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Ethical approval was obtained from the relevant institutional ethics sub-committee, and the study was conducted in accordance with the Declaration of Helsinki. Participants received written information sheets in Mandarin and Cantonese covering the research objective, session routine, data protection and the unconditional right to refuse or withdraw. For participants unable to read, a non-involved caregiver relayed the information verbally; verbal consent was recorded and signed for by the caregiver witness. Trained personnel remained present throughout sessions, with non-slip flooring and grab rails in reach. Eligibility required being fall-free for the preceding two weeks and having no medical condition deemed inappropriate by care staff; cognitive impairment affecting comprehension was grounds for exclusion. Any fall, near-fall or dizziness would trigger immediate stoppage, referral and adverse-event recording;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(Standing Committee of the National People's Congress, 2021)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At the first attendance each participant completed a standard-mode FRA assessment before game play began; over the eight weeks participants then played the gamified FRA at the station in attended sessions. This was a single-group observational field study of dropout patterns, not a randomised controlled trial.</w:t>
      </w:r>
    </w:p>
    <w:p>
      <w:pPr>
        <w:pStyle w:val="Heading1"/>
      </w:pPr>
      <w:r>
        <w:t>V. 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session cycles completed</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session cycles completed</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(Figure 1).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(Park et al., 2019) and established its test-retest reliability (Kim et al., 2018);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r>
        <w:rPr>
          <w:i/>
          <w:sz w:val="18"/>
        </w:rPr>
        <w:t>Figure 1. Integration of the FRA system into the skiing game. The four-load-cell pressure panel is shared: the centre-of-pressure stream feeds a player-facing pipeline (game engine, adaptive difficulty, telemetry logging) and a clinician-facing pipeline (FRA index computation, comprehensive score and risk-factor profile, prescribed balance exercises); questionnaires feed both ledgers through self-report. No clinical numbers cross the participant-facing boundary to the play screen.</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(Chou, 2015) (Figure 2). Figure 3 shows the deployed presentation across the five difficulty levels. Staff were instructed to use phrases such as 'you are practising a new balance skill' in place of 'you are being tested for fall risk'.</w:t>
      </w:r>
    </w:p>
    <w:p>
      <w:r>
        <w:rPr>
          <w:i/>
          <w:sz w:val="18"/>
        </w:rPr>
        <w:t>Figure 2. The gamified skiing interface deployed on the InBody balance panel. The user steers the on-screen skier by shifting body weight laterally on the pressure-sensitive panel; each lateral shift is simultaneously logged as centre-of-pressure coordinates for clinical fall-risk analysis.</w:t>
      </w:r>
    </w:p>
    <w:p>
      <w:r>
        <w:rPr>
          <w:i/>
          <w:sz w:val="18"/>
        </w:rPr>
        <w:t>Figure 3. The skiing game across difficulty levels 1-5: obstacle spawn rate scales with the difficulty multiplier (x0.40 to x1.40), stones become more frequent relative to trees, and boulder pairs appear from Level 3 upward. Screenshots captured from the programme's archived game build, the successor build in the same design lineage as the deployed system.</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(Festinger, 1954) and with An et al.'s (2024) conclusion that building confidence matters more than competition in this population. The leaderboard is removed from the confirmatory design.</w:t>
      </w:r>
    </w:p>
    <w:p>
      <w:pPr>
        <w:pStyle w:val="Heading2"/>
      </w:pPr>
      <w:r>
        <w:t>C. Five-Layer Architecture</w:t>
      </w:r>
    </w:p>
    <w:p>
      <w:r>
        <w:t>The system comprises five layers (Figure 4).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r>
        <w:rPr>
          <w:i/>
          <w:sz w:val="18"/>
        </w:rPr>
        <w:t>Figure 4. The five-layer system architecture. Layer 1 (sensor input) streams COP coordinates; Layer 2 (game engine) renders the skiing task; Layer 3 (AI adaptation) adjusts difficulty through a language-model service within an 80%/40% flow band; Layer 4 (logging) records cycles, traces and events; Layer 5 (clinical output) computes pre/post FRA indices on the clinician side. No clinical numbers are shown on the play screen.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dropping below neutral after the first cycle; no improvement across three consecutive cycles; and participants attributing difficulty to age or physical deterioration. In COM-B terms, coaching addresses reflective motivation through reframing, and staff activation adds social opportunity.</w:t>
      </w:r>
    </w:p>
    <w:p>
      <w:pPr>
        <w:pStyle w:val="Heading1"/>
      </w:pPr>
      <w:r>
        <w:t>VII. Data Collection and Measures</w:t>
      </w:r>
    </w:p>
    <w:p>
      <w:r>
        <w:t>At the first attendance each participant completed a standard-mode FRA assessment (the FRA used without the game link) before game play began; because the dual-purpose input routes the pressure-panel signal into the same FRA measurement pathway, game play then produced assessment indexes as well. Each session involved performance on the gamified task with its FRA index output, a five-point satisfaction rating, and self-reported symptom change at follow-up. Five variables were collected per participant: V1 cycles completed; V2 pre/post FRA index, where the 'before' value is the standard-mode assessment at first attendance and the 'after' value is the game-generated index from the final play, at whatever week it occurred; V3 symptom change; V4 satisfaction; V5 age and gender. Both indexes are produced automatically by the same measurement engine from the same centre-of-pressure pathway, so they share a scale; but pre/post changes span different exposure durations, for single-session participants the pair spans a single attendance, and the two values arise under different task contexts (assessment protocol versus game play), so the measured change contains any context effect alongside balance change.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self-reported improvement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was confirmed at 70.0% (95% CI 52.1-83.3%) and the single-session exit rate at 26.7% (95% CI 14.2-44.4%); (4) the satisfaction association with sustained engagement was confirmed (9/9 versus 11/21; Fisher's exact p = 0.013).</w:t>
      </w:r>
    </w:p>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(Cohen, 1988). Associations between binary characteristics and sustained engagement use Fisher's exact test. No time-to-event modelling is used or reported (Section VII-A).</w:t>
      </w:r>
    </w:p>
    <w:p>
      <w:pPr>
        <w:pStyle w:val="Heading2"/>
      </w:pPr>
      <w:r>
        <w:t>B. Clinical Outcomes</w:t>
      </w:r>
    </w:p>
    <w:p>
      <w:r>
        <w:rPr>
          <w:i/>
          <w:sz w:val="18"/>
        </w:rPr>
        <w:t>Table 2. FRA index outcomes,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Self-reported improvement</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2 reports outcomes for the nine participants who sustained engagement (≥ 4 cycles).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3. FRA index outcomes,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Self-reported improvement</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Table 3 reports the low-engagement group: despite minimal engagement, it shows a mean change of +2.8 points with high variability. Only 52% reported satisfaction or perceived improvement, against 100% of sustained participants — satisfaction and sustained engagement are strongly associated (Fisher's exact p = 0.013).</w:t>
      </w:r>
    </w:p>
    <w:p>
      <w:pPr>
        <w:pStyle w:val="Heading2"/>
      </w:pPr>
      <w:r>
        <w:t>C. The Abandonment Pattern</w:t>
      </w:r>
    </w:p>
    <w:p>
      <w:r>
        <w:rPr>
          <w:i/>
          <w:sz w:val="18"/>
        </w:rPr>
        <w:t>Table 4.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The most telling figure is the zero re-engagement count: of the 21 participants who disengaged, not one returned within the eight-week window. This absolute permanence distinguishes the pattern from typical usage attrition, in which some users return (Eysenbach, 2005). The 26.7% single-session exit rate marks the first session as the highest-risk point (Figure 5). No time-to-event model is reported: the archive preserves cycle counts, not timestamps. The evidential core of the pattern is carried by the three directly observed quantities in Table 4 and by the satisfaction association above.</w:t>
      </w:r>
    </w:p>
    <w:p>
      <w:r>
        <w:rPr>
          <w:i/>
          <w:sz w:val="18"/>
        </w:rPr>
        <w:t>Figure 5. Participant flow (N = 30). Twenty-one participants disengaged at or before three cycles, including eight single-session exits; six formed the F4 abandonment cluster, of whom three recorded an improved FRA index in their only session and still never returned. No re-engagement after disengagement was observed (0 of 21).</w:t>
      </w:r>
    </w:p>
    <w:p>
      <w:pPr>
        <w:pStyle w:val="Heading1"/>
      </w:pPr>
      <w:r>
        <w:t>IX. Qualitative Coding and the FIAS Composite</w:t>
      </w:r>
    </w:p>
    <w:p>
      <w:r>
        <w:t>All 30 participants were coded with thirteen binary attributes (Table 5) drawn from STAM constructs and selected Octalysis drives, collapsed onto a 0-10 composite. The composite is a descriptive case-identification device and carries no evidential weight: several attributes record engagement and exit behaviour, so a participant who abandoned early necessarily scores high, and the clustering of the F4 group at the top of the scale is partly true by construction. Every evidential statement in this paper rests on directly observed behaviour — single-session exit, non-return, and the divergence between recorded score direction and return.</w:t>
      </w:r>
    </w:p>
    <w:p>
      <w:r>
        <w:rPr>
          <w:i/>
          <w:sz w:val="18"/>
        </w:rPr>
        <w:t>Table 5.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 Dissatisfied OR (1 cycle AND no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Cycles ≤ 2 AND no improvement AND satisfaction ≤ Neutral</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6.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(Table 6; Figure 6)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r>
        <w:rPr>
          <w:i/>
          <w:sz w:val="18"/>
        </w:rPr>
        <w:t>Figure 6.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1"/>
      </w:pPr>
      <w:r>
        <w:t>X. F4 Interview Protocol</w:t>
      </w:r>
    </w:p>
    <w:p>
      <w:r>
        <w:t>F4-cluster participants were interviewed within three to five days of the abandoned session about whether the decision to stop was immediate or deliberate. Table 7 shows the nine-question protocol; questions 3 and 4 test H2 and H3, question 7 tests H4, and question 9 probes domain reframing.</w:t>
      </w:r>
    </w:p>
    <w:p>
      <w:r>
        <w:rPr>
          <w:i/>
          <w:sz w:val="18"/>
        </w:rPr>
        <w:t>Table 7.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subset who sustained engagement, yes: +6.9 FRA index points (95% CI 4.5-9.3; dz = 2.22), with all nine satisfied or very satisfied; across all thirty, +4.0 points (95% CI 0.5-7.6). These are promising within-deployment signals rather than demonstrated clinical effects.</w:t>
      </w:r>
    </w:p>
    <w:p>
      <w:pPr>
        <w:pStyle w:val="Heading2"/>
      </w:pPr>
      <w:r>
        <w:t>B. RQ2: Why Does Abandonment Persist?</w:t>
      </w:r>
    </w:p>
    <w:p>
      <w:r>
        <w:t>The pattern has three defining features. It is early: 70.0% disengaged at or before three cycles, 26.7% after one session. It is absolute within the window: none of 21 disengaged participants returned (95% CI 0.0-15.5%), unlike ordinary usage attrition (Eysenbach, 2005). And it is not accounted for by dissatisfaction alone: although satisfaction and engagement are strongly associated (p = 0.013), three F4 participants improved on the recorded index in their only session and still never returned. Practical obstacles — usability, staffing, cost, scheduling — do not explain a pattern in which the technology was free, supervised, on site, and in documented cases measurably working for the person who walked away. The evidence is consistent with a psychological mechanism attached to the meaning of failure.</w:t>
      </w:r>
    </w:p>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7).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r>
        <w:rPr>
          <w:i/>
          <w:sz w:val="18"/>
        </w:rPr>
        <w:t>Figure 7. Conceptual model of the proposed FIDS-FIAS mechanism and intervention pathways: a first failure event collapses self-efficacy (FIDS), after which loss aversion consolidates permanent withdrawal (FIAS); the two intervention routes for confirmatory testing are domain reframing (H5, prevention) and the coaching layer (repair). The mechanism is proposed, not directly measured.</w:t>
      </w:r>
    </w:p>
    <w:p>
      <w:pPr>
        <w:pStyle w:val="Heading2"/>
      </w:pPr>
      <w:r>
        <w:t>D. Extended Theory: Endowment, Stereotype Threat, Domain Reframing</w:t>
      </w:r>
    </w:p>
    <w:p>
      <w:r>
        <w:t>Three further perspectives are offered as theory for confirmatory testing, not as findings. The endowment effect (Kahneman et al., 1990; Thaler, 1980):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(Barber, 2017; Dionigi, 2015): activating negative ageing stereotypes degrades older adults' performance, predominantly as self-concept threat (Barber, 2017); reframing a task from trait measurement to skill activity reduces the threat (McGlone &amp; Aronson, 2006).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permanent dropout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exits clustered at or before three cycles, none of the 21 disengaged participants re-engaged,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 The pre/post index pair also spans two measurement contexts - standard assessment mode and game play - so recorded change conflates balance change with any effect of the measurement context itself.</w:t>
      </w:r>
    </w:p>
    <w:p>
      <w:pPr>
        <w:pStyle w:val="Heading1"/>
      </w:pPr>
      <w:r>
        <w:t>XIII. Design Implications for Practitioners</w:t>
      </w:r>
    </w:p>
    <w:p>
      <w:r>
        <w:t>Four principles follow, three grounded in the present findings and one awaiting confirmation.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FIAS risk signals during sessions (satisfaction below neutral after the first cycle;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A game with no real-world stakes confines the meaning of failure to the game domain: one loses a life and tries again. When game performance and clinical assessment are coupled to the same physical action, a failure event reduces belief entropy in both domains at once — the game and the participant's beliefs about their own health. This is the entropy constraint: a structural property of any system coupling play and assessment. Beliefs about health and self are far more resistant to reopening than game beliefs, and if the endowment analysis above is correct, a newly settled negative conviction ('this technology is not for me') will itself be defended as a possession. Domain reframing aims to confine failure's meaning to the game domain in one step. This framework guides the confirmatory design; no quantitative entropy claim is made here.</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single-session exit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8).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(von Elm et al., 2007) and SPIRIT-AI (Liu et al., 2020); WHO and regulator guidance on AI in health informs the AI component (FDA, Health Canada, &amp; MHRA, 2021; WHO, 2021). All hypotheses (H1-H5) and endpoints will be pre-registered before data collection.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r>
        <w:rPr>
          <w:i/>
          <w:sz w:val="18"/>
        </w:rPr>
        <w:t>Figure 8. Three-arm confirmatory study design: Arm 1 (control, FRA-coupled), Arm 2 (domain reframing, reaction-speed framing; tests H5), Arm 3 (FRA-coupled with staff coaching; tests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For participants who sustained engagement, gamification helped: +6.9 FRA index points (95% CI 4.5-9.3; dz = 2.22), with all nine satisfied or very satisfied. But 70.0% never passed three cycles, 26.7% stopped after their first session, no participant returned after disengaging — and three participants whose recorded index improved in their only session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(Kahneman et al., 1990; Thaler, 1980) and stereotype-threat (Barber, 2017; McGlone &amp; Aronson, 2006)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References</w:t>
      </w:r>
    </w:p>
    <w:p>
      <w:r>
        <w:t>An, S., Cheung, C. F., &amp; Willoughby, K. W. (2024). A gamification approach for enhancing older adults' technology adoption and knowledge transfer. Technological Forecasting and Social Change, 205.</w:t>
      </w:r>
    </w:p>
    <w:p>
      <w:r>
        <w:t>Bandura, A. (1997). Self-efficacy: The exercise of control. W. H. Freeman.</w:t>
      </w:r>
    </w:p>
    <w:p>
      <w:r>
        <w:t>Barber, S. J. (2017). An examination of age-based stereotype threat about cognitive decline. Perspectives on Psychological Science, 12(1), 62–90.</w:t>
      </w:r>
    </w:p>
    <w:p>
      <w:r>
        <w:t>Chen, K., &amp; Chan, A. H. S. (2014). Gerontechnology acceptance by elderly Hong Kong Chinese: A senior technology acceptance model (STAM). Ergonomics, 57(5), 635–652.</w:t>
      </w:r>
    </w:p>
    <w:p>
      <w:r>
        <w:t>Chou, Y.-K. (2015). Actionable gamification: Beyond points, badges, and leaderboards. Octalysis Media.</w:t>
      </w:r>
    </w:p>
    <w:p>
      <w:r>
        <w:t>Christensen, H., Griffiths, K. M., &amp; Farrer, L. (2009). Adherence in internet interventions for anxiety and depression. Journal of Medical Internet Research, 11(2), e13.</w:t>
      </w:r>
    </w:p>
    <w:p>
      <w:r>
        <w:t>Cohen, J. (1988). Statistical power analysis for the behavioral sciences (2nd ed.). Erlbaum.</w:t>
      </w:r>
    </w:p>
    <w:p>
      <w:r>
        <w:t>Compeau, D. R., &amp; Higgins, C. A. (1995). Computer self-efficacy: Development of a measure and initial test. MIS Quarterly, 19(2), 189–211.</w:t>
      </w:r>
    </w:p>
    <w:p>
      <w:r>
        <w:t>Davis, F. D. (1989). Perceived usefulness, perceived ease of use, and user acceptance of information technology. MIS Quarterly, 13(3), 319–340.</w:t>
      </w:r>
    </w:p>
    <w:p>
      <w:r>
        <w:t>Deci, E. L., &amp; Ryan, R. M. (1985). Intrinsic motivation and self-determination in human behavior. Plenum.</w:t>
      </w:r>
    </w:p>
    <w:p>
      <w:r>
        <w:t>Deterding, S., Dixon, D., Khaled, R., &amp; Nacke, L. (2011). From game design elements to gamefulness: Defining gamification. Proceedings of the 15th International Academic MindTrek Conference, 9–15.</w:t>
      </w:r>
    </w:p>
    <w:p>
      <w:r>
        <w:t>Dionigi, R. A. (2015). Stereotypes of aging: Their effects on the health of older adults. Journal of Geriatrics, 2015, Article 954027.</w:t>
      </w:r>
    </w:p>
    <w:p>
      <w:r>
        <w:t>Eysenbach, G. (2005). The law of attrition. Journal of Medical Internet Research, 7(1), e11.</w:t>
      </w:r>
    </w:p>
    <w:p>
      <w:r>
        <w:t>Festinger, L. (1954). A theory of social comparison processes. Human Relations, 7(2), 117–140.</w:t>
      </w:r>
    </w:p>
    <w:p>
      <w:r>
        <w:t>Frey, B. S., &amp; Jegen, R. (2001). Motivation crowding theory. Journal of Economic Surveys, 15(5), 589–611.</w:t>
      </w:r>
    </w:p>
    <w:p>
      <w:r>
        <w:t>Grossi, G., Ferrario, R., &amp; Tosi, V. (2024). Barriers and facilitators to health technology adoption by older adults with chronic diseases: An integrative systematic review. BMC Geriatrics, 24, Article 189.</w:t>
      </w:r>
    </w:p>
    <w:p>
      <w:r>
        <w:t>Guner, H., &amp; Acarturk, C. (2020). The use and acceptance of ICT by senior citizens: A comparison of TAM for elderly and young adults. Universal Access in the Information Society, 19, 311–330.</w:t>
      </w:r>
    </w:p>
    <w:p>
      <w:r>
        <w:t>Hawthorn, D. (2007). Interface design and engagement with older people. Behaviour &amp; Information Technology, 26(4), 333–341.</w:t>
      </w:r>
    </w:p>
    <w:p>
      <w:r>
        <w:t>Kahneman, D., Knetsch, J. L., &amp; Thaler, R. H. (1990). Experimental tests of the endowment effect and the Coase theorem. Journal of Political Economy, 98(6), 1325–1348.</w:t>
      </w:r>
    </w:p>
    <w:p>
      <w:r>
        <w:t>Kahneman, D., &amp; Tversky, A. (1979). Prospect theory: An analysis of decision under risk. Econometrica, 47(2), 263–291.</w:t>
      </w:r>
    </w:p>
    <w:p>
      <w:r>
        <w:t>Kelders, S. M., Kok, R. N., Ossebaard, H. C., &amp; Van Gemert-Pijnen, J. E. W. C. (2012). Persuasive system design does matter: A systematic review of adherence to web-based interventions. Journal of Medical Internet Research, 14(6), e152.</w:t>
      </w:r>
    </w:p>
    <w:p>
      <w:r>
        <w:t>Kim, M., Kim, S., &amp; Won, C. W. (2018). Test–retest reliability of the Fall Risk Assessment system. Annals of Geriatric Medicine and Research, 22(2), 80–87.</w:t>
      </w:r>
    </w:p>
    <w:p>
      <w:r>
        <w:t>Koivisto, J., &amp; Malik, A. (2021). Gamification for older adults: A systematic literature review. The Gerontologist, 61(7), 360–372.</w:t>
      </w:r>
    </w:p>
    <w:p>
      <w:r>
        <w:t>Lee, C., &amp; Coughlin, J. F. (2015). Older adults' adoption of technology: An integrated approach. Geriatrics &amp; Gerontology International, 15(5), 519–525.</w:t>
      </w:r>
    </w:p>
    <w:p>
      <w:r>
        <w:t>Lewin, K. (1946). Action research and minority problems. Journal of Social Issues, 2(4), 34–46.</w:t>
      </w:r>
    </w:p>
    <w:p>
      <w:r>
        <w:t>Liu, X., Cruz Rivera, S., Moher, D., Calvert, M. J., &amp; Denniston, A. K. (2020). Reporting guidelines for clinical trials evaluating artificial intelligence interventions. Nature Medicine, 26, 1364–1374.</w:t>
      </w:r>
    </w:p>
    <w:p>
      <w:r>
        <w:t>McGlone, M. S., &amp; Aronson, J. (2006). Stereotype threat, identity salience, and spatial reasoning. Journal of Applied Developmental Psychology, 27(5), 486–493.</w:t>
      </w:r>
    </w:p>
    <w:p>
      <w:r>
        <w:t>Michie, S., van Stralen, M. M., &amp; West, R. (2011). The behaviour change wheel: A new method for characterising and designing behaviour change interventions. Implementation Science, 6, Article 42.</w:t>
      </w:r>
    </w:p>
    <w:p>
      <w:r>
        <w:t>National Institute for Health and Care Excellence [NICE]. (2013). Falls in older people: Assessing risk and prevention (Clinical Guideline CG161).</w:t>
      </w:r>
    </w:p>
    <w:p>
      <w:r>
        <w:t>Park, W.-C., Kim, M., &amp; Kim, S. (2019). Introduction of the Fall Risk Assessment system and cross-sectional validation among community-dwelling older adults. Annals of Rehabilitation Medicine, 43(1), 87–95.</w:t>
      </w:r>
    </w:p>
    <w:p>
      <w:r>
        <w:t>Scheffer, A. C., Schuurmans, M. J., van Dijk, N., van der Hooft, T., &amp; de Rooij, S. E. (2008). Fear of falling: Measurement strategy, prevalence, risk factors and consequences among older persons. Age and Ageing, 37(1), 19–24.</w:t>
      </w:r>
    </w:p>
    <w:p>
      <w:r>
        <w:t>Shannon, C. E. (1948). A mathematical theory of communication. Bell System Technical Journal, 27, 379–423, 623–656.</w:t>
      </w:r>
    </w:p>
    <w:p>
      <w:r>
        <w:t>Standing Committee of the National People's Congress. (2021). Personal Information Protection Law of the People's Republic of China.</w:t>
      </w:r>
    </w:p>
    <w:p>
      <w:r>
        <w:t>Stringer, E. T. (2014). Action research (4th ed.). SAGE.</w:t>
      </w:r>
    </w:p>
    <w:p>
      <w:r>
        <w:t>Tam, S. K. T., &amp; Cheung, C. F. (in press). A study of utilisation of Fall Risk Assessment among elderly users: A critical review through TAM and Octalysis frameworks with gamification approach.</w:t>
      </w:r>
    </w:p>
    <w:p>
      <w:r>
        <w:t>Thaler, R. (1980). Toward a positive theory of consumer choice. Journal of Economic Behavior &amp; Organization, 1(1), 39–60.</w:t>
      </w:r>
    </w:p>
    <w:p>
      <w:r>
        <w:t>Tinetti, M. E., &amp; Powell, L. (1993). Fear of falling and low self-efficacy: A cause of dependence in elderly persons. Journal of Gerontology, 48(Special issue), 35–38.</w:t>
      </w:r>
    </w:p>
    <w:p>
      <w:r>
        <w:t>Tsai, H. S., Shillair, R., &amp; Cotten, S. R. (2020). Exploring the role of technology anxiety and self-efficacy in older adults' information seeking. iConference 2020 Proceedings.</w:t>
      </w:r>
    </w:p>
    <w:p>
      <w:r>
        <w:t>Tversky, A., &amp; Kahneman, D. (1992). Advances in prospect theory: Cumulative representation of uncertainty. Journal of Risk and Uncertainty, 5(4), 297–323.</w:t>
      </w:r>
    </w:p>
    <w:p>
      <w:r>
        <w:t>U.S. Food and Drug Administration, Health Canada, &amp; Medicines and Healthcare products Regulatory Agency. (2021). Good machine learning practice for medical device development: Guiding principles.</w:t>
      </w:r>
    </w:p>
    <w:p>
      <w:r>
        <w:t>Venkatesh, V., Morris, M. G., Davis, G. B., &amp; Davis, F. D. (2003). User acceptance of information technology: Toward a unified view. MIS Quarterly, 27(3), 425–478.</w:t>
      </w:r>
    </w:p>
    <w:p>
      <w:r>
        <w:t>von Elm, E., Altman, D. G., Egger, M., Pocock, S. J., Gøtzsche, P. C., &amp; Vandenbroucke, J. P. (2007). The STROBE statement: Guidelines for reporting observational studies. Annals of Internal Medicine, 147(8), 573–577.</w:t>
      </w:r>
    </w:p>
    <w:p>
      <w:r>
        <w:t>Wildenbos, G. A., Peute, L., &amp; Jaspers, M. (2018). Aging barriers influencing mobile health usability for older adults: MOLD-US framework. International Journal of Medical Informatics, 114, 66–75.</w:t>
      </w:r>
    </w:p>
    <w:p>
      <w:r>
        <w:t>World Health Organization [WHO]. (2007). WHO global report on falls prevention in older age.</w:t>
      </w:r>
    </w:p>
    <w:p>
      <w:r>
        <w:t>World Health Organization. (2021). Ethics and governance of artificial intelligence for health.</w:t>
      </w:r>
    </w:p>
    <w:p>
      <w:r>
        <w:t>Yardley, L., Beyer, N., Hauer, K., Kempen, G., Piot-Ziegler, C., &amp; Todd, C. (2005). Development and initial validation of the Falls Efficacy Scale-International (FES-I). Age and Ageing, 34(6), 614–619.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 manuscript (IJKM submission)</dc:title>
  <dc:subject/>
  <dc:creator/>
  <cp:keywords/>
  <dc:description>IJKM compliance: title block/abstract/keywords/acknowledgments removed; tables 1-7 Arabic with callouts; APA author-date citations and alphabetical reference list.</dc:description>
  <cp:lastModifiedBy/>
  <cp:revision>1</cp:revision>
  <dcterms:created xsi:type="dcterms:W3CDTF">2013-12-23T23:15:00Z</dcterms:created>
  <dcterms:modified xsi:type="dcterms:W3CDTF">2013-12-23T23:15:00Z</dcterms:modified>
  <cp:category/>
</cp:coreProperties>
</file>