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disengaged at or before three game cycles, and none re-engaged within the study window (0/21; 95% CI 0.0-15.5%) - including three participants whose recorded balance index improved during their only session. The knowledge was created, captured and delivered; its acceptance collapsed.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August 2026).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shows the deployed presentation across the five difficulty levels.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the successor build in the same design lineage as the deployed system.</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a five-point satisfaction rating, and self-reported symptom change at follow-up.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single-session participants the pair spans a single attendance,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(Figure 5). No time-to-event model is reported: the archive preserves cycle counts, not timestamps. The evidential core of the pattern is carried by the three directly observed quantities in Table 4 and by the satisfaction association above.</w:t>
      </w:r>
    </w:p>
    <w:p>
      <w:r>
        <w:rPr>
          <w:i/>
          <w:sz w:val="18"/>
        </w:rPr>
        <w:t>Figure 5. Participant flow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exits clustered at or before three cycles, none of the 21 disengaged participants re-engaged,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