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without remuneration; the consent arrangement as conducted and approved (incomplete disclosure with gatekeeper consent, written consent obtained retrospectively from sustained participants) is described under Ethical Considerations.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a five-point satisfaction rating, and self-reported symptom change at follow-up.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single-session participants the pair spans a single attendance,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exits clustered at or before three cycles, none of the 21 disengaged participants re-engaged,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