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highlight w:val="yellow"/>
        </w:rPr>
        <w:t xml:space="preserve"> [AUTHOR CHECK: confirm the Figure 1.1 graphic was regenerated for the title-aligned caption and carries no later-chapter construct names.]</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V40 -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(G.10); (10) Stage-3 participant-level logbook: distributor wrappers + questionnaire returns, or the disclosure sentence that compilation remains partial (s6.4); (11) Stage 3B results when the window closes (s8.8); (12) Dr Lau second consultation: game feedback, Mirror clearance, member-check (s6.12, H.6); (13) member-checks for Dr Choy's and Dr Lau's summaries; (14) screenshots to re-send as files (dated invitations, Choy/Expert P/Lau WhatsApp chains, the Yuan consent-transmittal e-mail,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RESOLVED 10 Sep 2026, author's corrected account: before = standard-mode FRA assessment at first attendance, after = final play's game index; s5.5),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