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This thesis sits within the EngD programme topic Gamification as a Proactive Approach for Continuous Improvement and Innovation Enhancement. It examines how gamified design, deployed proactively rather than as a remedial overlay, may address failure-associated non-return in an older-adult health-technology setting. Fall Risk Assessment (FRA) is used as the working case. The thesis advances a frame-sensitive account in which clinical or diagnostic presentation may alter the behavioural meaning of failure, and it develops adaptive, learning-oriented design as an engineering response for prospective testing. The behavioural-economic mechanisms proposed in the thesis - mental accounting of health outcomes, identity protection, loss aversion and stereotype threat - are treated as theoretically grounded inferences rather than as directly measured causal mechanisms.</w:t>
      </w:r>
    </w:p>
    <w:p w14:paraId="4BEDA2C7" w14:textId="77777777" w:rsidR="0062437E" w:rsidRDefault="00000000">
      <w:pPr>
        <w:jc w:val="both"/>
      </w:pPr>
      <w:r>
        <w:t>Stage 1 used a face-to-face survey with approximately 200 residents at a large elderly housing facility in Guangzhou. Thirty-nine per cent reported prior FRA use; among prior users, approximately 74% reported an adverse, unacceptable or unsuccessful first experience as operationalised in the study records, and approximately 82% reported no subsequent return. Because the reproduced six-item instrument does not by itself resolve every meaning of "failure", the Stage-1 result is interpreted as a descriptive association between an adverse first experience and self-reported non-return. Stage 2 prospectively examined the pattern in an eight-week action-research study with thirty residents using a dual-purpose AI-assisted skiing game on the InBody pressure panel. Within the archived Stage-2 dataset, twenty-one of thirty participants (70.0%) disengaged at or before three game cycles, eight after a single session, and no re-engagement was observed within the study window. Among the nine sustained participants the recorded FRA index changed by +6.9 points on average (paired dz = 2.22, 95% CI 0.95–3.46); across all thirty participants the paired change was +4.0 points (dz = 0.42, 95% CI 0.05–0.79). Because the archived dataset contains no session timestamps, no time-to-event model is fitted; earlier survival-analysis framings have been withdrawn. A Quality Function Deployment (QFD) pipeline translates the empirical findings into prioritised game-design requirements. Three of six F4-cluster participants showed positive change in the recorded FRA index during their single session and did not return, producing an objective-score-improvement/non-return paradox. Stage 3 used a separate Hong Kong community cohort of 120 adults aged 25-80 and implemented a participant-facing decoupling package: clinical terminology, pre-session clinical procedures and participant-facing clinical outputs were removed while the same broad hardware, skiing mechanic, five-attempt rule and session length were retained. Observed non-return was 6.7% overall and 13.3% in the 65-80 band. Among 23 initial dropouts, 15 (65.2%) returned voluntarily; in the age-matched 65-80 band, 10 of 16 (62.5%) returned. Coordination-challenge endorsement reached 71.7% and is interpreted primarily as a manipulation check, while regular-use intention reached 63.3% overall.</w:t>
      </w:r>
    </w:p>
    <w:p w14:paraId="768A95F0" w14:textId="77777777" w:rsidR="0062437E" w:rsidRDefault="00000000">
      <w:pPr>
        <w:jc w:val="both"/>
      </w:pPr>
      <w:r>
        <w:lastRenderedPageBreak/>
        <w:t>Taken together, the findings are consistent with a coupling or framing account: when a gamified activity is presented as part of an artefact-based clinical assessment, failure may acquire identity-relevant meaning and be associated with non-return; under participant-facing decoupling in a separate cohort, post-failure return was substantially higher. The design does not isolate framing from every cohort, recruitment and contextual difference, so the evidence supports rather than proves the coupling account. The 35.6-percentage-point difference between in-session retention (86.7%) and regular-use intention (51.1%) in the 65-80 band is a descriptive commitment gap and does not identify a single mechanism. The thesis therefore proposes, rather than empirically confirms, a Learning-Oriented Design Framework (LODF) comprising identity disentanglement, trajectory installation and adaptive calibration. Endowment-protective appraisal and learning-trajectory appraisal are framed as competing interpretive regimes rather than mutually exclusive psychological states. The contributions are theoretical (FIAS as a provisional behavioural construct and a candidate frame-sensitive mechanism), methodological (the dual-purpose mechanic, theory-iterating action research, a between-cohort quasi-experimental decoupling comparison and commitment-gap measurement), empirical (convergent field evidence consistent with a frame-sensitive account, pending within-cohort confirmation), and practical (an engineering-actionable framework deployable on existing infrastructure and specified for future controlled evaluation).</w:t>
      </w:r>
    </w:p>
    <w:p w14:paraId="3DA71CBC" w14:textId="77777777" w:rsidR="0062437E" w:rsidRDefault="00000000">
      <w:pPr>
        <w:jc w:val="both"/>
      </w:pPr>
      <w:r>
        <w:t>Keywords: Gamification; continuous improvement; innovation enhancement; Fall Risk Assessment; elderly technology adoption; failure-induced abandonment; loss aversion; endowment effect; mental accounting; information entropy; adaptive learning; Learning-Oriented Design Framework.</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w:t>
      </w:r>
      <w:r>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and the Learning-Oriented Design Framework</w:t>
      </w:r>
      <w:r>
        <w:tab/>
        <w:t>64</w:t>
      </w:r>
    </w:p>
    <w:p w14:paraId="5427D174" w14:textId="77777777" w:rsidR="00FD5D21" w:rsidRDefault="00FD5D21">
      <w:pPr>
        <w:pStyle w:val="TOC2"/>
        <w:tabs>
          <w:tab w:val="right" w:leader="dot" w:pos="8495"/>
        </w:tabs>
        <w:rPr>
          <w:noProof/>
        </w:rPr>
      </w:pPr>
      <w:r>
        <w:t>7.1 Why the Empirical Programme Motivates Adaptive Learning</w:t>
      </w:r>
      <w:r>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The Learning-Oriented Design Framework (LODF)</w:t>
      </w:r>
      <w:r>
        <w:tab/>
        <w:t>65</w:t>
      </w:r>
    </w:p>
    <w:p w14:paraId="283DF193" w14:textId="77777777" w:rsidR="00FD5D21" w:rsidRDefault="00FD5D21">
      <w:pPr>
        <w:pStyle w:val="TOC2"/>
        <w:tabs>
          <w:tab w:val="right" w:leader="dot" w:pos="8495"/>
        </w:tabs>
        <w:rPr>
          <w:noProof/>
        </w:rPr>
      </w:pPr>
      <w:r>
        <w:t>7.5 Prototype Stack: Engineering-Actionable LODF Implementation</w:t>
      </w:r>
      <w:r>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LODF Reference Stack</w:t>
      </w:r>
      <w:r>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(LODF Reference Stack)</w:t>
      </w:r>
      <w:r>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r>
        <w:rPr>
          <w:b/>
          <w:highlight w:val="yellow"/>
        </w:rPr>
        <w:t>[NOTE TO AUTHOR: regenerate this list and its page numbers after inserting the photographs at the marked positions (Figures 4.1B, 5.1A, 5.1B, 5.3A, 6.0A). Figures 5.4 and 6.1 have been regenerated from the archived data and are embedded.]</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LODF design framework and the future-work programme.</w:t>
      </w:r>
      <w:r>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35.6-pp commitment gap in the 65–80 band.</w:t>
      </w:r>
      <w:r>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LODF reference stack: existing five-layer FRA architecture (L0–L4) extended with three additional layers (L5 User-Facing Trajectory; L6 Staff Coaching Protocol; L7 LODF Telemetry).</w:t>
      </w:r>
      <w:r>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w:t>
      </w:r>
      <w:r>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14:paraId="26EBE44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5.3. Stage-2 outcomes by motivational orientation.</w:t>
      </w:r>
      <w:r>
        <w:tab/>
        <w:t>49</w:t>
      </w:r>
    </w:p>
    <w:p>
      <w:pPr>
        <w:pStyle w:val="TOC1"/>
      </w:pPr>
      <w:r>
        <w:t>Table 5.4.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Table 7.1. LODF principles, function and empirical anchor.</w:t>
      </w:r>
      <w:r>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LODF reference stack (L0–L7) mapped to LODF principles.</w:t>
      </w:r>
      <w:r>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14:paraId="64D3F0A4" w14:textId="77777777" w:rsidR="0062437E" w:rsidRDefault="00000000">
            <w:r>
              <w:rPr>
                <w:sz w:val="20"/>
              </w:rP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LODF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LODF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 xml:space="preserve">Stage 3 was the programme's strongest empirical challenge to a purely dispositional explanation. By the close of Stage 2, FIAS had been specified as a provisional construct </w:t>
      </w:r>
      <w:r>
        <w:lastRenderedPageBreak/>
        <w:t>and a behavioural-economic mechanism had been proposed. What remained unresolved was whether the observed non-return pattern was primarily a property of the Guangzhou cohort, a property of the coupled clinical-game context, or a combination of both. A separate-cohort decoupling study could provide important directional evidence, but it could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13.3%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consistent with frame suppression and inconsistent with the strongest form of a purely dispositional account. They do not rule out cohort self-selection, setting, recruitment, health-status, staff-interaction or observation-window differences. The comparison is therefore described as a between-cohort quasi-experimental decoupling study rather than a single-variable experiment. The residual 35.6-percentage-point difference in the 65-80 band between in-session retention and regular-use intention identifies a practical design problem that remains. Adaptive learning, formalised in Chapter 7 as LODF, is proposed as one theoretically grounded response among several candidates, including fatigue management, access support, shorter sessions and alternative coaching strategies.</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LODF.</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identify, name and characterise a pattern of failure-associated non-return to a gamified health technology among older adults, to examine whether participant-facing clinical framing may moderate that pattern, and to translate the resulting evidence into an engineering design framework that can be tested and deployed on existing infrastructure.</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Theoretically, it identifies failure-associated non-return as a post-contact problem not explicitly represented in standard acceptance and gamification models, integrates technology acceptance, gamification, self-efficacy and behavioural-economics literatures, and advances FIAS as a provisional frame-sensitive behavioural construct. Mental accounting, identity-level endowment, loss aversion and stereotype threat are proposed as candidate mechanisms and are not claimed to have been directly measured. Methodologically, the thesis introduces the dual-purpose mechanic, documents a Claude Code-assisted development workflow, uses theory-iterating action research with explicit revision points, conducts a between-cohort quasi-experimental participant-facing decoupling comparison, and measures the difference between in-session retention and stated regular-use intention. Empirically, it reports a strong association between first failure and observed dropout in Stage 2 and a substantial increase in post-failure return in the separate Stage-3 decoupled cohort, while explicitly retaining the need for within-cohort confirmation. Practically, it specifies the learn-to-earn philosophy and LODF as deployable engineering responses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lastRenderedPageBreak/>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35.6-percentage-point commitment gap does not identify adaptive learning as its sole cause; fatigue, physical capacity, access, session burden and other motivational factors remain viable alternatives. Direct comparison of design levers and controlled evaluation of the complete LODF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Part I (Chapters 2 and 3) establishes the theoretical and methodological foundation. Chapter 2 develops a five-stage argument from technology acceptance and gamification through self-efficacy, behavioural economics and learning-oriented design, while distinguishing established literature from the thesis's candidate mechanisms. Chapter 3 specifies the action-research methodology, the analytical status of each stage and the limitations of the between-cohort comparison. Part II (Chapters 4, 5 and 6) reports the Stage-1 survey, the Stage-2 gamified FRA deployment and the Stage-3 participant-facing decoupling study. Part III (Chapters 7 and 8) develops LODF as an engineering framework, identifies its empirical anchors and untested components, and examines alternative explanations, limitations, ethics and reproducibility. Chapter 9 synthesises the findings using an explicit hierarchy of observed results, inferred mechanisms and proposed design responses, and sets out the controlled studies required for confirmation and generalisation.</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LODF,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
              <w:rPr>
                <w:b/>
              </w:rPr>
              <w:t>Observation H0 cannot explain</w:t>
            </w:r>
          </w:p>
        </w:tc>
        <w:tc>
          <w:tcPr>
            <w:tcW w:type="dxa" w:w="2126"/>
          </w:tcPr>
          <w:p>
            <w:r/>
            <w:r>
              <w:rPr>
                <w:b/>
              </w:rPr>
              <w:t>Behavioural theory</w:t>
            </w:r>
          </w:p>
        </w:tc>
        <w:tc>
          <w:tcPr>
            <w:tcW w:type="dxa" w:w="2126"/>
          </w:tcPr>
          <w:p>
            <w:r/>
            <w:r>
              <w:rPr>
                <w:b/>
              </w:rPr>
              <w:t>Construct contributed to FIAS</w:t>
            </w:r>
          </w:p>
        </w:tc>
        <w:tc>
          <w:tcPr>
            <w:tcW w:type="dxa" w:w="2126"/>
          </w:tcPr>
          <w:p>
            <w:r/>
            <w:r>
              <w:rPr>
                <w:b/>
              </w:rPr>
              <w:t>Prediction generated</w:t>
            </w:r>
          </w:p>
        </w:tc>
      </w:tr>
      <w:tr>
        <w:tc>
          <w:tcPr>
            <w:tcW w:type="dxa" w:w="2126"/>
          </w:tcPr>
          <w:p>
            <w:r/>
            <w:r>
              <w:t>A single adverse first experience outweighs the design's motivational pull</w:t>
            </w:r>
          </w:p>
        </w:tc>
        <w:tc>
          <w:tcPr>
            <w:tcW w:type="dxa" w:w="2126"/>
          </w:tcPr>
          <w:p>
            <w:r/>
            <w:r>
              <w:t>Prospect theory / loss aversion (Kahneman &amp; Tversky, 1979)</w:t>
            </w:r>
          </w:p>
        </w:tc>
        <w:tc>
          <w:tcPr>
            <w:tcW w:type="dxa" w:w="2126"/>
          </w:tcPr>
          <w:p>
            <w:r/>
            <w:r>
              <w:t>Asymmetric weighting of an adverse result against a valued reference point</w:t>
            </w:r>
          </w:p>
        </w:tc>
        <w:tc>
          <w:tcPr>
            <w:tcW w:type="dxa" w:w="2126"/>
          </w:tcPr>
          <w:p>
            <w:r/>
            <w:r>
              <w:t>First failure is associated with early disengagement (H1, Chapter 5)</w:t>
            </w:r>
          </w:p>
        </w:tc>
      </w:tr>
      <w:tr>
        <w:tc>
          <w:tcPr>
            <w:tcW w:type="dxa" w:w="2126"/>
          </w:tcPr>
          <w:p>
            <w:r/>
            <w:r>
              <w:t>Exit persists even when the recorded score improves</w:t>
            </w:r>
          </w:p>
        </w:tc>
        <w:tc>
          <w:tcPr>
            <w:tcW w:type="dxa" w:w="2126"/>
          </w:tcPr>
          <w:p>
            <w:r/>
            <w:r>
              <w:t>Endowment effect (Thaler, 1980; Kahneman, Knetsch &amp; Thaler, 1990)</w:t>
            </w:r>
          </w:p>
        </w:tc>
        <w:tc>
          <w:tcPr>
            <w:tcW w:type="dxa" w:w="2126"/>
          </w:tcPr>
          <w:p>
            <w:r/>
            <w:r>
              <w:t>Identity-relevant endowment: exit protects a valued self-description from revaluation</w:t>
            </w:r>
          </w:p>
        </w:tc>
        <w:tc>
          <w:tcPr>
            <w:tcW w:type="dxa" w:w="2126"/>
          </w:tcPr>
          <w:p>
            <w:r/>
            <w:r>
              <w:t>Objective improvement does not by itself produce return (H4 — the improvement/non-return paradox)</w:t>
            </w:r>
          </w:p>
        </w:tc>
      </w:tr>
      <w:tr>
        <w:tc>
          <w:tcPr>
            <w:tcW w:type="dxa" w:w="2126"/>
          </w:tcPr>
          <w:p>
            <w:r/>
            <w:r>
              <w:t>The same event means different things under different frames</w:t>
            </w:r>
          </w:p>
        </w:tc>
        <w:tc>
          <w:tcPr>
            <w:tcW w:type="dxa" w:w="2126"/>
          </w:tcPr>
          <w:p>
            <w:r/>
            <w:r>
              <w:t>Mental accounting (Thaler, 1985)</w:t>
            </w:r>
          </w:p>
        </w:tc>
        <w:tc>
          <w:tcPr>
            <w:tcW w:type="dxa" w:w="2126"/>
          </w:tcPr>
          <w:p>
            <w:r/>
            <w:r>
              <w:t>Clinical framing sorts the session into a high-stakes health account</w:t>
            </w:r>
          </w:p>
        </w:tc>
        <w:tc>
          <w:tcPr>
            <w:tcW w:type="dxa" w:w="2126"/>
          </w:tcPr>
          <w:p>
            <w:r/>
            <w:r>
              <w:t>Removing participant-facing clinical framing increases post-failure return (H5, Stage 3)</w:t>
            </w:r>
          </w:p>
        </w:tc>
      </w:tr>
      <w:tr>
        <w:tc>
          <w:tcPr>
            <w:tcW w:type="dxa" w:w="2126"/>
          </w:tcPr>
          <w:p>
            <w:r/>
            <w:r>
              <w:t>Clinical and age-related cues amplify the meaning of failure</w:t>
            </w:r>
          </w:p>
        </w:tc>
        <w:tc>
          <w:tcPr>
            <w:tcW w:type="dxa" w:w="2126"/>
          </w:tcPr>
          <w:p>
            <w:r/>
            <w:r>
              <w:t>Stereotype threat (Steele &amp; Aronson, 1995; Levy et al., 2002)</w:t>
            </w:r>
          </w:p>
        </w:tc>
        <w:tc>
          <w:tcPr>
            <w:tcW w:type="dxa" w:w="2126"/>
          </w:tcPr>
          <w:p>
            <w:r/>
            <w:r>
              <w:t>Salience of age-related decline as the trigger of identity-relevant appraisal</w:t>
            </w:r>
          </w:p>
        </w:tc>
        <w:tc>
          <w:tcPr>
            <w:tcW w:type="dxa" w:w="2126"/>
          </w:tcPr>
          <w:p>
            <w:r/>
            <w:r>
              <w:t>Threat-reduced framing and coaching improve retry and return (LODF, Chapter 7)</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LODF.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 xml:space="preserve">Adaptive learning is not a single technique but a convergence of four established traditions, and naming them explicitly matters because it fixes what the LODF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w:t>
      </w:r>
      <w:r>
        <w:lastRenderedPageBreak/>
        <w:t>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 xml:space="preserve">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t>
      </w:r>
      <w:r>
        <w:lastRenderedPageBreak/>
        <w:t>with substantially greater post-failure return. Adaptive learning and LODF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engagement with related FRA technology. The comparison is a benchmark rather than a causal explanation, and the cited studies should be checked carefully for exact protocol, population and retention definitions before final binding. The possibility that some implementations already incorporate supportive framing or adaptive coaching is a hypothesis for comparative fieldwork, not an inference that can be made from retention figures alone.</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two design responses — participant-facing decoupling, for which Stage 3 (Chapter 6) provides between-cohort field evidence, and learning-oriented adaptation (LODF, Chapter 7), which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t>The programme adopts action research (Lewin, 1946; Stringer, 2014; Reason &amp; Bradbury, 2008) and treats cycles of action, observation, reflection and design revision as part of the inquiry. The framework is appropriate to an EngD study because the artefact and the theoretical interpretation evolved in response to field observations. The revisions are documented as changes in working explanation: from FIDS toward the provisional FIAS construct after Stage 1 and Stage 2; from a predominantly dispositional account toward a frame-sensitive account after Stage 3; and from decoupling alone toward LODF as a proposed design programme. These revisions are not equivalent to independent confirmation of the underlying psychological mechanisms.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was administered face-to-face by nursing staff. The final thesis must report one exact participant flow and denominator consistently; current working text contains both approximately 200 and approximately 280 and therefore requires author verification against the archived survey log.</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The primary analytical contribution was prospective characterisation of engagement, failure events and observed non-return within the study window.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t xml:space="preserve">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w:t>
      </w:r>
      <w:r>
        <w:lastRenderedPageBreak/>
        <w:t>combined association of the decoupled condition and its context with behaviour; it does not isolate a single causal variable.</w:t>
      </w:r>
    </w:p>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Figure 3.1 summarises the programme as a sequence of empirical stages and theoretical revisions. The figure should be read as an action-research logic model rather than as a single causal experiment. Stage 1 is descriptive and hypothesis-generating; Stage 2 is prospective and mechanism-generating; Stage 3 is quasi-experimental and challenges a purely dispositional explanation; Chapter 7 translates the combined evidence into a design framework for future controlled testing.</w:t>
      </w:r>
    </w:p>
    <w:p w14:paraId="392B12E8" w14:textId="77777777" w:rsidR="0062437E" w:rsidRDefault="00000000">
      <w:pPr>
        <w:keepNext/>
        <w:spacing w:before="160" w:after="40"/>
        <w:jc w:val="center"/>
      </w:pPr>
      <w:r>
        <w:rPr>
          <w:noProof/>
        </w:rPr>
        <w:drawing>
          <wp:anchor distT="0" distB="0" distL="114300" distR="114300" simplePos="0" relativeHeight="251658240" behindDoc="0" locked="0" layoutInCell="1" allowOverlap="1" wp14:anchorId="7754B632" wp14:editId="6ED53378">
            <wp:simplePos x="0" y="0"/>
            <wp:positionH relativeFrom="column">
              <wp:posOffset>-687705</wp:posOffset>
            </wp:positionH>
            <wp:positionV relativeFrom="paragraph">
              <wp:posOffset>22860</wp:posOffset>
            </wp:positionV>
            <wp:extent cx="6443345" cy="32810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rotWithShape="1">
                    <a:blip r:embed="rId9"/>
                    <a:srcRect b="12216"/>
                    <a:stretch>
                      <a:fillRect/>
                    </a:stretch>
                  </pic:blipFill>
                  <pic:spPr bwMode="auto">
                    <a:xfrm>
                      <a:off x="0" y="0"/>
                      <a:ext cx="6443345" cy="3281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811F34" w14:textId="77777777" w:rsidR="0062437E" w:rsidRDefault="00000000">
      <w:pPr>
        <w:pStyle w:val="FigureCaption"/>
        <w:jc w:val="center"/>
      </w:pPr>
      <w:r>
        <w:t>Figure 3.1. Three-stage action research programme. Each stage produces an empirical output and a theoretical revision; the three stages converge on the proposed LODF design framework and the future-work programme. The labels in the diagram are programme-logic shorthand: 'clinical benefit paradox' denotes the observed score-improvement/non-return pattern, while 'adaptive learning' denotes a proposed design response rather than a directly measured mechanism.</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t xml:space="preserve">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w:t>
      </w:r>
      <w:r>
        <w:rPr>
          <w:b/>
          <w:highlight w:val="yellow"/>
        </w:rPr>
        <w:t>[AUTHOR INPUT REQUIRED: insert the HSESC approval reference number and date; state which stages and amendments the approval covered; and confirm whether the Stage-3 frame-manipulation and recruitment wording were reviewed and approved]</w:t>
      </w:r>
      <w:r>
        <w:t>. Chapter 8 (§8.7) addresses vulnerability, disclosure, autonomy and the ethical boundary between participant-facing reframing and deception.</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The programme advances the hypothesis that learning-trajectory appraisal may reduce the dominance of an endowment-protective interpretation of failure. The present stages support this hypothesis indirectly through behavioural patterns; they do not measure the proposed mechanism or test the complete LODF.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t>Interpretive rule for the remainder of the thesis: observed results are reported as observations; mental accounting, endowment, stereotype threat and entropy are candidate explanations; LODF and environment-grounded adaptation are proposed engineering responses. This hierarchy is maintained so that the thesis's originality does not depend on overstating causal certainty.</w:t>
      </w:r>
    </w:p>
    <w:p w14:paraId="34DA1CE0" w14:textId="77777777" w:rsidR="0062437E" w:rsidRDefault="00000000">
      <w:pPr>
        <w:pStyle w:val="Heading1"/>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two purposes. The first was to characterise the utilisation and non-return problem at the Poly Group facility descriptively. The second was to examine whether TAM, STAM and Octalysis explicitly represent the post-contact event suggested by residents' reports, and to generate a theoretically grounded construct for prospective investigation. Stage 1 was not designed to validate FIAS or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rPr>
          <w:noProof/>
        </w:rPr>
        <w:drawing>
          <wp:inline distT="0" distB="0" distL="0" distR="0" wp14:anchorId="034C8673" wp14:editId="0B3636CC">
            <wp:extent cx="5611493" cy="325594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A.png"/>
                    <pic:cNvPicPr/>
                  </pic:nvPicPr>
                  <pic:blipFill>
                    <a:blip r:embed="rId10"/>
                    <a:stretch>
                      <a:fillRect/>
                    </a:stretch>
                  </pic:blipFill>
                  <pic:spPr>
                    <a:xfrm>
                      <a:off x="0" y="0"/>
                      <a:ext cx="5636431" cy="3270418"/>
                    </a:xfrm>
                    <a:prstGeom prst="rect">
                      <a:avLst/>
                    </a:prstGeom>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b/>
          <w:highlight w:val="green"/>
        </w:rPr>
        <w:t>[INSERT PHOTOGRAPH HERE — Figure 4.1B: the FRA machine]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 xml:space="preserve">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Current working text elsewhere refers to approximately 280 participants and to a separate TAM-based multiple-choice block; those references must be reconciled against the archived </w:t>
      </w:r>
      <w:r>
        <w:lastRenderedPageBreak/>
        <w:t>instrument and participant log before final binding. Only results with a traceable item, wording, denominator and data source should remain in Table 4.1.</w:t>
      </w:r>
    </w:p>
    <w:p w14:paraId="4CE718EE" w14:textId="77777777" w:rsidR="0062437E" w:rsidRDefault="00000000">
      <w:pPr>
        <w:pStyle w:val="Heading2"/>
      </w:pPr>
      <w:bookmarkStart w:id="56" w:name="_Toc232024556"/>
      <w:r>
        <w:t>4.2 The Guangzhou Survey (N ≈ 200)</w:t>
      </w:r>
      <w:bookmarkEnd w:id="56"/>
    </w:p>
    <w:p w14:paraId="58B43063" w14:textId="77777777" w:rsidR="0062437E" w:rsidRDefault="00000000">
      <w:pPr>
        <w:jc w:val="both"/>
      </w:pPr>
      <w:r>
        <w:t>Six Yes/No items were administered face-to-face by nursing staff in July and August 2024 to residents aged 65-88 who met the stated eligibility criteria. The final thesis must replace the approximate sample size with the exact number approached, eligible, consenting and completing the instrument, together with item-level missingness. Face-to-face administration reduced literacy and digital-skill barriers but may also have introduced interviewer and social-desirability effects.</w:t>
      </w:r>
    </w:p>
    <w:p w14:paraId="13B11C36" w14:textId="77777777" w:rsidR="0062437E" w:rsidRDefault="00000000">
      <w:pPr>
        <w:pStyle w:val="TableCaption"/>
        <w:jc w:val="center"/>
      </w:pPr>
      <w:bookmarkStart w:id="57" w:name="_Toc232024694"/>
      <w:r>
        <w:t>Table 4.1. Stage-1 survey results (N ≈ 200 residents).</w:t>
      </w:r>
      <w:bookmarkEnd w:id="57"/>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highlight w:val="yellow"/>
        </w:rPr>
        <w:t>AUTHOR VERIFICATION REQUIRED BEFORE FINAL BINDING: reconcile N≈200 versus N≈280; confirm the exact wording and denominator behind the reported access and perceived-benefit estimates; and document how a negative response to "understood and accepted the result" was mapped to the term "failure". If no corresponding source items exist, revise Table 4.1 and all downstream claims accordingly.</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often operationalised through performance gains. For retired older adults, usefulness may involve safety, independence, confidence and quality of life rather than job performance. More importantly for this thesis, standard acceptance models emphasise beliefs and intentions before or during adoption and do not usually model a discrete post-contact failure event as a time-varying predictor of later non-return. The Stage-1 data suggest that such an event deserves explicit study;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Park et al. (2019) and Kim et al. (2018) reported that comparable Korean residential facilities using similar FRA technology achieved approximately 75% sustained engagement after introducing gamified balance exercises. The Korean comparison is a benchmark, not an explanation: the design lever that produces 75% retention in Korea has not been identified in the literature. The thesis's empirical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a documented utilisation and non-return problem signature, identifies a post-contact event that is not explicit in TAM, STAM or Octalysis, and generates the provisional FIAS construct and associated hypotheses. It does not validate FIAS, establish permanence, or identify mental accounting, endowment or stereotype threat as causal mechanisms. Those propositions are examined through prospective behaviour in Stage 2 and challenged through participant-facing decoupling in Stage 3.</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rPr>
          <w:noProof/>
        </w:rPr>
        <w:drawing>
          <wp:inline distT="0" distB="0" distL="0" distR="0" wp14:anchorId="7670B86A" wp14:editId="5D5FAF05">
            <wp:extent cx="5120640" cy="302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0.png"/>
                    <pic:cNvPicPr/>
                  </pic:nvPicPr>
                  <pic:blipFill>
                    <a:blip r:embed="rId11"/>
                    <a:stretch>
                      <a:fillRect/>
                    </a:stretch>
                  </pic:blipFill>
                  <pic:spPr>
                    <a:xfrm>
                      <a:off x="0" y="0"/>
                      <a:ext cx="5120640" cy="3021650"/>
                    </a:xfrm>
                    <a:prstGeom prst="rect">
                      <a:avLst/>
                    </a:prstGeom>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 xml:space="preserve">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w:t>
      </w:r>
      <w:r>
        <w:lastRenderedPageBreak/>
        <w:t>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LODF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b/>
          <w:highlight w:val="green"/>
        </w:rPr>
        <w:t>[INSERT PHOTOGRAPH HERE — Figure 5.1A: the play station]</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b/>
          <w:highlight w:val="green"/>
        </w:rPr>
        <w:t>[INSERT SCREENSHOTS HERE — Figure 5.1B: the game artefact]</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rPr>
          <w:noProof/>
        </w:rPr>
        <w:lastRenderedPageBreak/>
        <w:drawing>
          <wp:inline distT="0" distB="0" distL="0" distR="0" wp14:anchorId="4AB19B6A" wp14:editId="47C9D2D5">
            <wp:extent cx="4921878" cy="3142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rotWithShape="1">
                    <a:blip r:embed="rId13"/>
                    <a:srcRect l="13797" r="2204" b="19356"/>
                    <a:stretch>
                      <a:fillRect/>
                    </a:stretch>
                  </pic:blipFill>
                  <pic:spPr bwMode="auto">
                    <a:xfrm>
                      <a:off x="0" y="0"/>
                      <a:ext cx="4967173" cy="3171359"/>
                    </a:xfrm>
                    <a:prstGeom prst="rect">
                      <a:avLst/>
                    </a:prstGeom>
                    <a:ln>
                      <a:noFill/>
                    </a:ln>
                    <a:extLst>
                      <a:ext uri="{53640926-AAD7-44D8-BBD7-CCE9431645EC}">
                        <a14:shadowObscured xmlns:a14="http://schemas.microsoft.com/office/drawing/2010/main"/>
                      </a:ext>
                    </a:extLs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rPr>
          <w:noProof/>
        </w:rPr>
        <w:drawing>
          <wp:inline distT="0" distB="0" distL="0" distR="0" wp14:anchorId="22206955" wp14:editId="6CE23062">
            <wp:extent cx="5629521" cy="25784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rotWithShape="1">
                    <a:blip r:embed="rId14"/>
                    <a:srcRect l="3546" t="7540" r="4573" b="22177"/>
                    <a:stretch>
                      <a:fillRect/>
                    </a:stretch>
                  </pic:blipFill>
                  <pic:spPr bwMode="auto">
                    <a:xfrm>
                      <a:off x="0" y="0"/>
                      <a:ext cx="5695568" cy="2608738"/>
                    </a:xfrm>
                    <a:prstGeom prst="rect">
                      <a:avLst/>
                    </a:prstGeom>
                    <a:ln>
                      <a:noFill/>
                    </a:ln>
                    <a:extLst>
                      <a:ext uri="{53640926-AAD7-44D8-BBD7-CCE9431645EC}">
                        <a14:shadowObscured xmlns:a14="http://schemas.microsoft.com/office/drawing/2010/main"/>
                      </a:ext>
                    </a:extLs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b/>
          <w:highlight w:val="green"/>
        </w:rPr>
        <w:t>[INSERT PHOTOGRAPH(S) HERE — Figure 5.3A: participants playing]</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w:t>
      </w:r>
      <w:r>
        <w:t>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pStyle w:val="TableCaption"/>
        <w:jc w:val="center"/>
      </w:pPr>
      <w:bookmarkStart w:id="88" w:name="_Toc232024700"/>
      <w:r>
        <w:t>Table 5.3. Stage-2 outcomes by motivational orientation.</w:t>
      </w:r>
      <w:bookmarkEnd w:id="88"/>
    </w:p>
    <w:tbl>
      <w:tblPr>
        <w:tblStyle w:val="TableGrid"/>
        <w:tblW w:w="0" w:type="auto"/>
        <w:jc w:val="center"/>
        <w:tblLook w:val="04A0" w:firstRow="1" w:lastRow="0" w:firstColumn="1" w:lastColumn="0" w:noHBand="0" w:noVBand="1"/>
      </w:tblPr>
      <w:tblGrid>
        <w:gridCol w:w="2405"/>
        <w:gridCol w:w="1842"/>
        <w:gridCol w:w="2124"/>
        <w:gridCol w:w="2124"/>
      </w:tblGrid>
      <w:tr w:rsidR="0062437E" w14:paraId="4F6D0DDF" w14:textId="77777777" w:rsidTr="006D68FE">
        <w:trPr>
          <w:jc w:val="center"/>
        </w:trPr>
        <w:tc>
          <w:tcPr>
            <w:tcW w:w="2405" w:type="dxa"/>
          </w:tcPr>
          <w:p w14:paraId="6314C450" w14:textId="77777777" w:rsidR="0062437E" w:rsidRDefault="00000000">
            <w:r>
              <w:rPr>
                <w:b/>
                <w:sz w:val="20"/>
              </w:rPr>
              <w:t>Orientation</w:t>
            </w:r>
          </w:p>
        </w:tc>
        <w:tc>
          <w:tcPr>
            <w:tcW w:w="1842" w:type="dxa"/>
          </w:tcPr>
          <w:p w14:paraId="2EBC2FC5" w14:textId="77777777" w:rsidR="0062437E" w:rsidRDefault="00000000">
            <w:r>
              <w:rPr>
                <w:b/>
                <w:sz w:val="20"/>
              </w:rPr>
              <w:t>n</w:t>
            </w:r>
          </w:p>
        </w:tc>
        <w:tc>
          <w:tcPr>
            <w:tcW w:w="2124" w:type="dxa"/>
          </w:tcPr>
          <w:p w14:paraId="048151F7" w14:textId="77777777" w:rsidR="0062437E" w:rsidRDefault="00000000">
            <w:r>
              <w:rPr>
                <w:b/>
                <w:sz w:val="20"/>
              </w:rPr>
              <w:t>Sustained</w:t>
            </w:r>
          </w:p>
        </w:tc>
        <w:tc>
          <w:tcPr>
            <w:tcW w:w="2124" w:type="dxa"/>
          </w:tcPr>
          <w:p w14:paraId="70322973" w14:textId="77777777" w:rsidR="00EE7E37" w:rsidRDefault="00000000">
            <w:r>
              <w:t>Positive FRA-index change</w:t>
            </w:r>
          </w:p>
        </w:tc>
      </w:tr>
      <w:tr w:rsidR="0062437E" w14:paraId="115C0C1B" w14:textId="77777777" w:rsidTr="006D68FE">
        <w:trPr>
          <w:jc w:val="center"/>
        </w:trPr>
        <w:tc>
          <w:tcPr>
            <w:tcW w:w="2405" w:type="dxa"/>
          </w:tcPr>
          <w:p w14:paraId="25BA0FD6" w14:textId="77777777" w:rsidR="0062437E" w:rsidRDefault="00000000">
            <w:r>
              <w:rPr>
                <w:sz w:val="20"/>
              </w:rPr>
              <w:t>Learning-focused</w:t>
            </w:r>
          </w:p>
        </w:tc>
        <w:tc>
          <w:tcPr>
            <w:tcW w:w="1842" w:type="dxa"/>
          </w:tcPr>
          <w:p w14:paraId="6DFE46D4" w14:textId="77777777" w:rsidR="0062437E" w:rsidRDefault="00000000">
            <w:r>
              <w:rPr>
                <w:sz w:val="20"/>
              </w:rPr>
              <w:t>8</w:t>
            </w:r>
          </w:p>
        </w:tc>
        <w:tc>
          <w:tcPr>
            <w:tcW w:w="2124" w:type="dxa"/>
          </w:tcPr>
          <w:p w14:paraId="4EF014CC" w14:textId="77777777" w:rsidR="0062437E" w:rsidRDefault="00000000">
            <w:r>
              <w:rPr>
                <w:sz w:val="20"/>
              </w:rPr>
              <w:t>87.5%</w:t>
            </w:r>
          </w:p>
        </w:tc>
        <w:tc>
          <w:tcPr>
            <w:tcW w:w="2124" w:type="dxa"/>
          </w:tcPr>
          <w:p w14:paraId="6B5AB198" w14:textId="77777777" w:rsidR="0062437E" w:rsidRDefault="00000000">
            <w:r>
              <w:rPr>
                <w:sz w:val="20"/>
              </w:rPr>
              <w:t>85.7%</w:t>
            </w:r>
          </w:p>
        </w:tc>
      </w:tr>
      <w:tr w:rsidR="0062437E" w14:paraId="77AE0A3E" w14:textId="77777777" w:rsidTr="006D68FE">
        <w:trPr>
          <w:jc w:val="center"/>
        </w:trPr>
        <w:tc>
          <w:tcPr>
            <w:tcW w:w="2405" w:type="dxa"/>
          </w:tcPr>
          <w:p w14:paraId="13493344" w14:textId="77777777" w:rsidR="0062437E" w:rsidRDefault="00000000">
            <w:r>
              <w:rPr>
                <w:sz w:val="20"/>
              </w:rPr>
              <w:t>Health-deficit-focused</w:t>
            </w:r>
          </w:p>
        </w:tc>
        <w:tc>
          <w:tcPr>
            <w:tcW w:w="1842" w:type="dxa"/>
          </w:tcPr>
          <w:p w14:paraId="7A4067CE" w14:textId="77777777" w:rsidR="0062437E" w:rsidRDefault="00000000">
            <w:r>
              <w:rPr>
                <w:sz w:val="20"/>
              </w:rPr>
              <w:t>22</w:t>
            </w:r>
          </w:p>
        </w:tc>
        <w:tc>
          <w:tcPr>
            <w:tcW w:w="2124" w:type="dxa"/>
          </w:tcPr>
          <w:p w14:paraId="13DB3B35" w14:textId="77777777" w:rsidR="0062437E" w:rsidRDefault="00000000">
            <w:r>
              <w:rPr>
                <w:sz w:val="20"/>
              </w:rPr>
              <w:t>18.2%</w:t>
            </w:r>
          </w:p>
        </w:tc>
        <w:tc>
          <w:tcPr>
            <w:tcW w:w="2124" w:type="dxa"/>
          </w:tcPr>
          <w:p w14:paraId="5C7B0CFC" w14:textId="77777777" w:rsidR="0062437E" w:rsidRDefault="00000000">
            <w:r>
              <w:rPr>
                <w:sz w:val="20"/>
              </w:rPr>
              <w:t>50.0%</w:t>
            </w:r>
          </w:p>
        </w:tc>
      </w:tr>
    </w:tbl>
    <w:p w14:paraId="6ACBDF89" w14:textId="77777777" w:rsidR="0062437E" w:rsidRDefault="0062437E">
      <w:pPr>
        <w:pStyle w:val="AuthorAction"/>
        <w:spacing w:after="40"/>
      </w:pPr>
      <w:r>
        <w:rPr>
          <w:b/>
          <w:highlight w:val="yellow"/>
        </w:rPr>
        <w:t>[AUTHOR INPUT REQUIRED — Table 5.3 support. The week-2 motivational-orientation classification does not appear in the archived dataset, so the odds ratio of 31.5 cannot be reproduced from the data supplied. Either provide the coding records behind the classification (rubric, coders, inter-coder agreement, classification dates) or withdraw Table 5.3 and the odds ratio, and rely on the satisfaction association reported above, which is reproducible from the archive.]</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5.4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5.4.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rPr>
              <w:t>User need (voice of the user)</w:t>
            </w:r>
          </w:p>
        </w:tc>
        <w:tc>
          <w:tcPr>
            <w:tcW w:type="dxa" w:w="1215"/>
          </w:tcPr>
          <w:p>
            <w:r/>
            <w:r>
              <w:rPr>
                <w:b/>
              </w:rPr>
              <w:t>Evidence from the data</w:t>
            </w:r>
          </w:p>
        </w:tc>
        <w:tc>
          <w:tcPr>
            <w:tcW w:type="dxa" w:w="1215"/>
          </w:tcPr>
          <w:p>
            <w:r/>
            <w:r>
              <w:rPr>
                <w:b/>
              </w:rPr>
              <w:t>Construct</w:t>
            </w:r>
          </w:p>
        </w:tc>
        <w:tc>
          <w:tcPr>
            <w:tcW w:type="dxa" w:w="1215"/>
          </w:tcPr>
          <w:p>
            <w:r/>
            <w:r>
              <w:rPr>
                <w:b/>
              </w:rPr>
              <w:t>Adaptive difficulty (L2)</w:t>
            </w:r>
          </w:p>
        </w:tc>
        <w:tc>
          <w:tcPr>
            <w:tcW w:type="dxa" w:w="1215"/>
          </w:tcPr>
          <w:p>
            <w:r/>
            <w:r>
              <w:rPr>
                <w:b/>
              </w:rPr>
              <w:t>Loss-free states</w:t>
            </w:r>
          </w:p>
        </w:tc>
        <w:tc>
          <w:tcPr>
            <w:tcW w:type="dxa" w:w="1215"/>
          </w:tcPr>
          <w:p>
            <w:r/>
            <w:r>
              <w:rPr>
                <w:b/>
              </w:rPr>
              <w:t>Trajectory display (L5)</w:t>
            </w:r>
          </w:p>
        </w:tc>
        <w:tc>
          <w:tcPr>
            <w:tcW w:type="dxa" w:w="1215"/>
          </w:tcPr>
          <w:p>
            <w:r/>
            <w:r>
              <w:rPr>
                <w:b/>
              </w:rPr>
              <w:t>Coaching (L6)</w:t>
            </w:r>
          </w:p>
        </w:tc>
      </w:tr>
      <w:tr>
        <w:tc>
          <w:tcPr>
            <w:tcW w:type="dxa" w:w="1215"/>
          </w:tcPr>
          <w:p>
            <w:r/>
            <w:r>
              <w:t>Challenge that matches my ability</w:t>
            </w:r>
          </w:p>
        </w:tc>
        <w:tc>
          <w:tcPr>
            <w:tcW w:type="dxa" w:w="1215"/>
          </w:tcPr>
          <w:p>
            <w:r/>
            <w:r>
              <w:t>70.0% disengaged at ≤3 cycles; satisfaction 9/9 among sustained vs 11/21 (p = .013)</w:t>
            </w:r>
          </w:p>
        </w:tc>
        <w:tc>
          <w:tcPr>
            <w:tcW w:type="dxa" w:w="1215"/>
          </w:tcPr>
          <w:p>
            <w:r/>
            <w:r>
              <w:t>Flow / PEOU (TAM)</w:t>
            </w:r>
          </w:p>
        </w:tc>
        <w:tc>
          <w:tcPr>
            <w:tcW w:type="dxa" w:w="1215"/>
          </w:tcPr>
          <w:p>
            <w:r/>
            <w:r>
              <w:t>●</w:t>
            </w:r>
          </w:p>
        </w:tc>
        <w:tc>
          <w:tcPr>
            <w:tcW w:type="dxa" w:w="1215"/>
          </w:tcPr>
          <w:p>
            <w:r/>
            <w:r>
              <w:t>◐</w:t>
            </w:r>
          </w:p>
        </w:tc>
        <w:tc>
          <w:tcPr>
            <w:tcW w:type="dxa" w:w="1215"/>
          </w:tcPr>
          <w:p>
            <w:r/>
            <w:r/>
          </w:p>
        </w:tc>
        <w:tc>
          <w:tcPr>
            <w:tcW w:type="dxa" w:w="1215"/>
          </w:tcPr>
          <w:p>
            <w:r/>
            <w:r>
              <w:t>◐</w:t>
            </w:r>
          </w:p>
        </w:tc>
      </w:tr>
      <w:tr>
        <w:tc>
          <w:tcPr>
            <w:tcW w:type="dxa" w:w="1215"/>
          </w:tcPr>
          <w:p>
            <w:r/>
            <w:r>
              <w:t>Failure must not feel like a verdict about me</w:t>
            </w:r>
          </w:p>
        </w:tc>
        <w:tc>
          <w:tcPr>
            <w:tcW w:type="dxa" w:w="1215"/>
          </w:tcPr>
          <w:p>
            <w:r/>
            <w:r>
              <w:t>0/21 re-engagement after disengagement; Stage-1: ~74% adverse first experience among prior users</w:t>
            </w:r>
          </w:p>
        </w:tc>
        <w:tc>
          <w:tcPr>
            <w:tcW w:type="dxa" w:w="1215"/>
          </w:tcPr>
          <w:p>
            <w:r/>
            <w:r>
              <w:t>Loss aversion / D8 (Octalysis)</w:t>
            </w:r>
          </w:p>
        </w:tc>
        <w:tc>
          <w:tcPr>
            <w:tcW w:type="dxa" w:w="1215"/>
          </w:tcPr>
          <w:p>
            <w:r/>
            <w:r>
              <w:t>◐</w:t>
            </w:r>
          </w:p>
        </w:tc>
        <w:tc>
          <w:tcPr>
            <w:tcW w:type="dxa" w:w="1215"/>
          </w:tcPr>
          <w:p>
            <w:r/>
            <w:r>
              <w:t>●</w:t>
            </w:r>
          </w:p>
        </w:tc>
        <w:tc>
          <w:tcPr>
            <w:tcW w:type="dxa" w:w="1215"/>
          </w:tcPr>
          <w:p>
            <w:r/>
            <w:r>
              <w:t>◐</w:t>
            </w:r>
          </w:p>
        </w:tc>
        <w:tc>
          <w:tcPr>
            <w:tcW w:type="dxa" w:w="1215"/>
          </w:tcPr>
          <w:p>
            <w:r/>
            <w:r>
              <w:t>●</w:t>
            </w:r>
          </w:p>
        </w:tc>
      </w:tr>
      <w:tr>
        <w:tc>
          <w:tcPr>
            <w:tcW w:type="dxa" w:w="1215"/>
          </w:tcPr>
          <w:p>
            <w:r/>
            <w:r>
              <w:t>Visible personal progress</w:t>
            </w:r>
          </w:p>
        </w:tc>
        <w:tc>
          <w:tcPr>
            <w:tcW w:type="dxa" w:w="1215"/>
          </w:tcPr>
          <w:p>
            <w:r/>
            <w:r>
              <w:t>Recorded index and self-report diverge (5/8 single-session positive change, 2/8 felt improvement)</w:t>
            </w:r>
          </w:p>
        </w:tc>
        <w:tc>
          <w:tcPr>
            <w:tcW w:type="dxa" w:w="1215"/>
          </w:tcPr>
          <w:p>
            <w:r/>
            <w:r>
              <w:t>Competence (SDT) / D2</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Understandable, non-clinical feedback</w:t>
            </w:r>
          </w:p>
        </w:tc>
        <w:tc>
          <w:tcPr>
            <w:tcW w:type="dxa" w:w="1215"/>
          </w:tcPr>
          <w:p>
            <w:r/>
            <w:r>
              <w:t>60.0% self-reported improvement; satisfaction associated with staying</w:t>
            </w:r>
          </w:p>
        </w:tc>
        <w:tc>
          <w:tcPr>
            <w:tcW w:type="dxa" w:w="1215"/>
          </w:tcPr>
          <w:p>
            <w:r/>
            <w:r>
              <w:t>Gerontechnology anxiety (STAM)</w:t>
            </w:r>
          </w:p>
        </w:tc>
        <w:tc>
          <w:tcPr>
            <w:tcW w:type="dxa" w:w="1215"/>
          </w:tcPr>
          <w:p>
            <w:r/>
            <w:r/>
          </w:p>
        </w:tc>
        <w:tc>
          <w:tcPr>
            <w:tcW w:type="dxa" w:w="1215"/>
          </w:tcPr>
          <w:p>
            <w:r/>
            <w:r>
              <w:t>◐</w:t>
            </w:r>
          </w:p>
        </w:tc>
        <w:tc>
          <w:tcPr>
            <w:tcW w:type="dxa" w:w="1215"/>
          </w:tcPr>
          <w:p>
            <w:r/>
            <w:r>
              <w:t>●</w:t>
            </w:r>
          </w:p>
        </w:tc>
        <w:tc>
          <w:tcPr>
            <w:tcW w:type="dxa" w:w="1215"/>
          </w:tcPr>
          <w:p>
            <w:r/>
            <w:r>
              <w:t>●</w:t>
            </w:r>
          </w:p>
        </w:tc>
      </w:tr>
      <w:tr>
        <w:tc>
          <w:tcPr>
            <w:tcW w:type="dxa" w:w="1215"/>
          </w:tcPr>
          <w:p>
            <w:r/>
            <w:r>
              <w:t>Reward for effort, not only outcome</w:t>
            </w:r>
          </w:p>
        </w:tc>
        <w:tc>
          <w:tcPr>
            <w:tcW w:type="dxa" w:w="1215"/>
          </w:tcPr>
          <w:p>
            <w:r/>
            <w:r>
              <w:t>Coin loop sustained play in completers (≥4 cycles: 9/30)</w:t>
            </w:r>
          </w:p>
        </w:tc>
        <w:tc>
          <w:tcPr>
            <w:tcW w:type="dxa" w:w="1215"/>
          </w:tcPr>
          <w:p>
            <w:r/>
            <w:r>
              <w:t>Learn-to-earn / D4</w:t>
            </w:r>
          </w:p>
        </w:tc>
        <w:tc>
          <w:tcPr>
            <w:tcW w:type="dxa" w:w="1215"/>
          </w:tcPr>
          <w:p>
            <w:r/>
            <w:r>
              <w:t>◐</w:t>
            </w:r>
          </w:p>
        </w:tc>
        <w:tc>
          <w:tcPr>
            <w:tcW w:type="dxa" w:w="1215"/>
          </w:tcPr>
          <w:p>
            <w:r/>
            <w:r/>
          </w:p>
        </w:tc>
        <w:tc>
          <w:tcPr>
            <w:tcW w:type="dxa" w:w="1215"/>
          </w:tcPr>
          <w:p>
            <w:r/>
            <w:r>
              <w:t>◐</w:t>
            </w:r>
          </w:p>
        </w:tc>
        <w:tc>
          <w:tcPr>
            <w:tcW w:type="dxa" w:w="1215"/>
          </w:tcPr>
          <w:p>
            <w:r/>
            <w:r/>
          </w:p>
        </w:tc>
      </w:tr>
      <w:tr>
        <w:tc>
          <w:tcPr>
            <w:tcW w:type="dxa" w:w="1215"/>
          </w:tcPr>
          <w:p>
            <w:r/>
            <w:r>
              <w:t>A reason to come back</w:t>
            </w:r>
          </w:p>
        </w:tc>
        <w:tc>
          <w:tcPr>
            <w:tcW w:type="dxa" w:w="1215"/>
          </w:tcPr>
          <w:p>
            <w:r/>
            <w:r>
              <w:t>No observed return in Stage 2; Stage-3 decoupled cohort returned 15/23</w:t>
            </w:r>
          </w:p>
        </w:tc>
        <w:tc>
          <w:tcPr>
            <w:tcW w:type="dxa" w:w="1215"/>
          </w:tcPr>
          <w:p>
            <w:r/>
            <w:r>
              <w:t>Behavioural intention (TAM/STAM)</w:t>
            </w:r>
          </w:p>
        </w:tc>
        <w:tc>
          <w:tcPr>
            <w:tcW w:type="dxa" w:w="1215"/>
          </w:tcPr>
          <w:p>
            <w:r/>
            <w:r>
              <w:t>◐</w:t>
            </w:r>
          </w:p>
        </w:tc>
        <w:tc>
          <w:tcPr>
            <w:tcW w:type="dxa" w:w="1215"/>
          </w:tcPr>
          <w:p>
            <w:r/>
            <w:r>
              <w:t>●</w:t>
            </w:r>
          </w:p>
        </w:tc>
        <w:tc>
          <w:tcPr>
            <w:tcW w:type="dxa" w:w="1215"/>
          </w:tcPr>
          <w:p>
            <w:r/>
            <w:r>
              <w:t>●</w:t>
            </w:r>
          </w:p>
        </w:tc>
        <w:tc>
          <w:tcPr>
            <w:tcW w:type="dxa" w:w="1215"/>
          </w:tcPr>
          <w:p>
            <w:r/>
            <w: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t xml:space="preserve">A provisional FIAS composite score was applied to the thirty participants using STAM- and Octalysis-derived attributes. </w:t>
      </w:r>
      <w:r>
        <w:t xml:space="preserve">The composite is assembled from thirteen binary attributes drawn from STAM and selected Octalysis drives and is reported on a 0–10 range; the rule that maps the thirteen items onto that range is specified in the codebook in Appendix B </w:t>
      </w:r>
      <w:r>
        <w:rPr>
          <w:b/>
          <w:highlight w:val="yellow"/>
        </w:rPr>
        <w:t>[AUTHOR INPUT REQUIRED: state the weighting or collapsing rule that maps the thirteen items onto the 0–10 composite]</w:t>
      </w:r>
      <w:r>
        <w:t xml:space="preserve">. </w:t>
      </w:r>
      <w:r>
        <w:t xml:space="preserve"> Six participants clustered at scores 9-10 (F4). Three of the six recorded positive change in the FRA index during their single session and did not return during the observation period. This is termed the objective-score-improvement/non-return paradox. The observation shows a divergence between recorded score direction and return behaviour; it does not by itself establish clinical benefit, mental-account closure or identity protection.</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 xml:space="preserve">Stage 2 extended the FIAS hypothesis with three candidate theoretical components. First, identity-relevant endowment was proposed as a way to conceptualise resistance to unfavourable revaluation of a valued health self-concept. Second, stereotype threat was proposed as one possible trigger by which clinical or age-related cues increase the salience of decline. Third, domain reframing was identified as a candidate intervention: presenting the task as a coordination challenge may change the meaning of failure. These operators were not directly measured. H5 was therefore reframed as a directional test of </w:t>
      </w:r>
      <w:r>
        <w:lastRenderedPageBreak/>
        <w:t>whether a participant-facing decoupling package is associated with more post-failure return, not as a definitive test that domain reframing "prevents FIAS".</w:t>
      </w:r>
    </w:p>
    <w:p w14:paraId="36A7C737" w14:textId="77777777" w:rsidR="0062437E" w:rsidRDefault="00000000">
      <w:pPr>
        <w:keepNext/>
        <w:spacing w:before="160" w:after="40"/>
        <w:jc w:val="center"/>
      </w:pPr>
      <w:r>
        <w:rPr>
          <w:noProof/>
        </w:rPr>
        <w:drawing>
          <wp:inline distT="0" distB="0" distL="0" distR="0" wp14:anchorId="62135693" wp14:editId="0D3BE731">
            <wp:extent cx="5745172" cy="2683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rotWithShape="1">
                    <a:blip r:embed="rId17"/>
                    <a:srcRect l="5195" r="5120" b="24471"/>
                    <a:stretch>
                      <a:fillRect/>
                    </a:stretch>
                  </pic:blipFill>
                  <pic:spPr bwMode="auto">
                    <a:xfrm>
                      <a:off x="0" y="0"/>
                      <a:ext cx="5790435" cy="2704521"/>
                    </a:xfrm>
                    <a:prstGeom prst="rect">
                      <a:avLst/>
                    </a:prstGeom>
                    <a:ln>
                      <a:noFill/>
                    </a:ln>
                    <a:extLst>
                      <a:ext uri="{53640926-AAD7-44D8-BBD7-CCE9431645EC}">
                        <a14:shadowObscured xmlns:a14="http://schemas.microsoft.com/office/drawing/2010/main"/>
                      </a:ext>
                    </a:extLs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t>Stage 2 has important limitations. The sample is small, drawn from one site,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is not in the archived dataset and may be affected by reverse causality;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Stage 2 left two questions unresolved. First, was the low proportion classified as learning-oriented a stable characteristic of the Guangzhou cohort, an artefact of the week-2 coding scheme, or a response shaped by the clinical-game context? Second, would post-failure return differ when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t>Stage 3 made three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is not psychometrically equivalent to the Stage-2 week-2 learning-orientation classification and should not be used as a direct 2.7-fold measure of latent orientation change.</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35 aged 25-44, 40 aged 45-64 and 45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rPr>
          <w:b/>
          <w:highlight w:val="yellow"/>
        </w:rPr>
        <w:t>[AUTHOR INPUT REQUIRED: document the Stage-3 recruitment sources, inclusion and exclusion criteria, health and functional characteristics, staff scripts, observation window, and any differences in software version or support model relative to Stage 2, so that cross-stage comparability can be assessed.]</w:t>
      </w:r>
    </w:p>
    <w:p>
      <w:r>
        <w:t xml:space="preserve">The Stage-3 participant-level records were lost to a technical error after the aggregate results had been computed and reported. The archived data logbook (Appendix G, item G.3) therefore preserves the published aggregate results and a reconciliation sheet whose live formulas recompute every published indicator from any records re-entered into it. </w:t>
      </w:r>
      <w:r>
        <w:rPr>
          <w:b/>
          <w:highlight w:val="yellow"/>
        </w:rPr>
        <w:t>[AUTHOR INPUT REQUIRED: transcribe surviving primary records — paper questionnaires, clinician-terminal exports, staff session logs — into the logbook; the reconciliation sheet flags any mismatch with the published aggregates. Rows must come only from primary records, not be reconstructed from memory or from the totals. If the participant-level records prove unrecoverable, retain the data-loss statement in §8.9 and present the Chapter 6 results as resting on the published aggregate record.]</w:t>
      </w:r>
    </w:p>
    <w:p>
      <w:r>
        <w:rPr>
          <w:b/>
          <w:highlight w:val="green"/>
        </w:rPr>
        <w:t>[INSERT PHOTOGRAPH HERE — Figure 6.0A: Stage-3 site]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rPr>
                <w:sz w:val="20"/>
              </w:rPr>
              <w:t>35</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rPr>
                <w:sz w:val="20"/>
              </w:rPr>
              <w:t>40</w:t>
            </w:r>
          </w:p>
        </w:tc>
        <w:tc>
          <w:tcPr>
            <w:tcW w:w="1417" w:type="dxa"/>
          </w:tcPr>
          <w:p w14:paraId="02722F22" w14:textId="77777777" w:rsidR="0062437E" w:rsidRDefault="00000000">
            <w:r>
              <w:rPr>
                <w:sz w:val="20"/>
              </w:rPr>
              <w:t>7 (17.5%)</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rPr>
                <w:sz w:val="20"/>
              </w:rPr>
              <w:t>2 (5.0%)</w:t>
            </w:r>
          </w:p>
        </w:tc>
        <w:tc>
          <w:tcPr>
            <w:tcW w:w="1417" w:type="dxa"/>
          </w:tcPr>
          <w:p w14:paraId="5DECC06F" w14:textId="77777777" w:rsidR="0062437E" w:rsidRDefault="00000000">
            <w:r>
              <w:rPr>
                <w:sz w:val="20"/>
              </w:rPr>
              <w:t>95.0%</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rPr>
                <w:sz w:val="20"/>
              </w:rPr>
              <w:t>45</w:t>
            </w:r>
          </w:p>
        </w:tc>
        <w:tc>
          <w:tcPr>
            <w:tcW w:w="1417" w:type="dxa"/>
          </w:tcPr>
          <w:p w14:paraId="789C7D4D" w14:textId="77777777" w:rsidR="0062437E" w:rsidRDefault="00000000">
            <w:r>
              <w:rPr>
                <w:sz w:val="20"/>
              </w:rPr>
              <w:t>16 (35.6%)</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rPr>
                <w:sz w:val="20"/>
              </w:rPr>
              <w:t>6 (13.3%)</w:t>
            </w:r>
          </w:p>
        </w:tc>
        <w:tc>
          <w:tcPr>
            <w:tcW w:w="1417" w:type="dxa"/>
          </w:tcPr>
          <w:p w14:paraId="096D5843" w14:textId="77777777" w:rsidR="0062437E" w:rsidRDefault="00000000">
            <w:r>
              <w:rPr>
                <w:sz w:val="20"/>
              </w:rPr>
              <w:t>86.7%</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51.1% in the 65-80 band. These measures should not be compared as direct multiples of the Stage-2 26.7% learning-orientation classification because the constructs, instruments, timing and coding procedures differ.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rPr>
                <w:sz w:val="20"/>
              </w:rPr>
              <w:t>71.4%</w:t>
            </w:r>
          </w:p>
        </w:tc>
        <w:tc>
          <w:tcPr>
            <w:tcW w:w="1701" w:type="dxa"/>
          </w:tcPr>
          <w:p w14:paraId="6CB33CE3" w14:textId="77777777" w:rsidR="0062437E" w:rsidRDefault="00000000">
            <w:r>
              <w:rPr>
                <w:sz w:val="20"/>
              </w:rPr>
              <w:t>70.0%</w:t>
            </w:r>
          </w:p>
        </w:tc>
        <w:tc>
          <w:tcPr>
            <w:tcW w:w="1701" w:type="dxa"/>
          </w:tcPr>
          <w:p w14:paraId="3333BB3D" w14:textId="77777777" w:rsidR="0062437E" w:rsidRDefault="00000000">
            <w:r>
              <w:rPr>
                <w:sz w:val="20"/>
              </w:rPr>
              <w:t>51.1%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Stage-3 coordination endorsement and Stage-2 motivational orientation are non-equivalent measures. The former tests whether the participant recognised the presented activity as a coordination challenge; the latter was an exploratory week-2 classification partly based on behaviour. They should be reported side-by-side only with this distinction explicit.</w:t>
      </w:r>
    </w:p>
    <w:p>
      <w:r>
        <w:t>Note on Table 6.3: coordination-challenge endorsement was reported in the published summary only as a total (86 of 120, 71.7%); the per-age-band breakdown was lost with the participant-level records and is shown as not preserved.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048324"/>
            <wp:docPr id="16" name="Picture 16"/>
            <wp:cNvGraphicFramePr>
              <a:graphicFrameLocks noChangeAspect="1"/>
            </wp:cNvGraphicFramePr>
            <a:graphic>
              <a:graphicData uri="http://schemas.openxmlformats.org/drawingml/2006/picture">
                <pic:pic>
                  <pic:nvPicPr>
                    <pic:cNvPr id="0" name="figure_6_1.png"/>
                    <pic:cNvPicPr/>
                  </pic:nvPicPr>
                  <pic:blipFill>
                    <a:blip r:embed="rId25"/>
                    <a:stretch>
                      <a:fillRect/>
                    </a:stretch>
                  </pic:blipFill>
                  <pic:spPr>
                    <a:xfrm>
                      <a:off x="0" y="0"/>
                      <a:ext cx="5303520" cy="3048324"/>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t xml:space="preserve">Figure 6.1 was regenerated directly from the counts reported in Table 6.2. </w:t>
      </w:r>
      <w:r>
        <w:rPr>
          <w:b/>
          <w:highlight w:val="yellow"/>
        </w:rPr>
        <w:t>[AUTHOR: confirm the regenerated chart against the Stage-3 records, or replace it with the original figure file if preferred.]</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 xml:space="preserve">Stage 3 deliberately did not collect participant-level clinical balance telemetry, so the Stage-2 score-improvement/non-return pattern cannot be replicated directly. What Stage 3 measures is a different outcome: whether participants who initially disengaged returned </w:t>
      </w:r>
      <w:r>
        <w:lastRenderedPageBreak/>
        <w:t>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86.7% while stated regular-use intention was 51.1%, a difference of 35.6 percentage points. These are different constructs: one is observed session completion and the other is a hypothetical future intention. The difference is useful as a design diagnostic, but it should not be interpreted as a measured causal effect or as evidence that adaptive learning is the missing mechanism.</w:t>
      </w:r>
    </w:p>
    <w:p w14:paraId="0A108184" w14:textId="77777777" w:rsidR="0062437E" w:rsidRDefault="00000000">
      <w:pPr>
        <w:jc w:val="both"/>
      </w:pPr>
      <w:r>
        <w:t xml:space="preserve">Several explanations are plausible. Participants may have completed a single session but anticipated fatigue, access barriers, scheduling burden, insufficient relevance, motor difficulty or limited enjoyment from repeated play. A missing trajectory frame is one theoretically grounded possibility among these alternatives. The near-term study should therefore combine longitudinal behavioural follow-up with interviews or validated </w:t>
      </w:r>
      <w:r>
        <w:lastRenderedPageBreak/>
        <w:t>measures of fatigue, perceived competence, autonomy, burden, enjoyment and identity relevance before selecting the design lever.</w:t>
      </w:r>
    </w:p>
    <w:p w14:paraId="36455B5A" w14:textId="77777777" w:rsidR="0062437E" w:rsidRDefault="00000000">
      <w:pPr>
        <w:keepNext/>
        <w:spacing w:before="160" w:after="40"/>
        <w:jc w:val="center"/>
      </w:pPr>
      <w:r>
        <w:rPr>
          <w:noProof/>
        </w:rPr>
        <w:drawing>
          <wp:inline distT="0" distB="0" distL="0" distR="0" wp14:anchorId="27E13A6F" wp14:editId="068B8E04">
            <wp:extent cx="5120640" cy="31706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png"/>
                    <pic:cNvPicPr/>
                  </pic:nvPicPr>
                  <pic:blipFill>
                    <a:blip r:embed="rId19"/>
                    <a:stretch>
                      <a:fillRect/>
                    </a:stretch>
                  </pic:blipFill>
                  <pic:spPr>
                    <a:xfrm>
                      <a:off x="0" y="0"/>
                      <a:ext cx="5120640" cy="3170692"/>
                    </a:xfrm>
                    <a:prstGeom prst="rect">
                      <a:avLst/>
                    </a:prstGeom>
                  </pic:spPr>
                </pic:pic>
              </a:graphicData>
            </a:graphic>
          </wp:inline>
        </w:drawing>
      </w:r>
    </w:p>
    <w:p w14:paraId="1DCE6097" w14:textId="77777777" w:rsidR="0062437E" w:rsidRDefault="00000000">
      <w:pPr>
        <w:pStyle w:val="FigureCaption"/>
        <w:jc w:val="center"/>
      </w:pPr>
      <w:bookmarkStart w:id="102" w:name="_Toc232024691"/>
      <w:r>
        <w:t>Figure 6.3. Retention versus regular-use intention by age band: the 35.6-pp commitment gap in the 65–80 band.</w:t>
      </w:r>
      <w:bookmarkEnd w:id="102"/>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t>Stage 3 has material limitations. It is a between-cycle, between-cohort comparison;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is not equivalent to the Stage-2 orientation classification, and the complete LODF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r>
              <w:t>Early disengagement, ≤ 3 cycles (Stage 2)</w:t>
            </w:r>
          </w:p>
        </w:tc>
        <w:tc>
          <w:tcPr>
            <w:tcW w:w="1092" w:type="dxa"/>
          </w:tcPr>
          <w:p>
            <w:r/>
            <w:r>
              <w:t>70.0%</w:t>
            </w:r>
          </w:p>
        </w:tc>
        <w:tc>
          <w:tcPr>
            <w:tcW w:w="1280" w:type="dxa"/>
          </w:tcPr>
          <w:p>
            <w:r/>
            <w:r>
              <w:t>52.1–83.3%*</w:t>
            </w:r>
          </w:p>
        </w:tc>
        <w:tc>
          <w:tcPr>
            <w:tcW w:w="605" w:type="dxa"/>
          </w:tcPr>
          <w:p>
            <w:r/>
            <w:r>
              <w:t>30</w:t>
            </w:r>
          </w:p>
        </w:tc>
        <w:tc>
          <w:tcPr>
            <w:tcW w:w="2090" w:type="dxa"/>
          </w:tcPr>
          <w:p>
            <w:r/>
            <w:r>
              <w:t>Wilson score interval; Table 5.2. (Survival modelling withdrawn: no time variable in the archive; §5.5)</w:t>
            </w:r>
          </w:p>
        </w:tc>
      </w:tr>
      <w:tr w:rsidR="0062437E" w14:paraId="2496EADD" w14:textId="77777777" w:rsidTr="006D68FE">
        <w:trPr>
          <w:jc w:val="center"/>
        </w:trPr>
        <w:tc>
          <w:tcPr>
            <w:tcW w:w="3114" w:type="dxa"/>
          </w:tcPr>
          <w:p w14:paraId="1DE699E1" w14:textId="77777777" w:rsidR="0062437E" w:rsidRDefault="00000000">
            <w:r>
              <w:rPr>
                <w:sz w:val="18"/>
              </w:rPr>
              <w:t>Motivational orientation and completion (Stage 2, week-2 classification)</w:t>
            </w:r>
          </w:p>
        </w:tc>
        <w:tc>
          <w:tcPr>
            <w:tcW w:w="1092" w:type="dxa"/>
          </w:tcPr>
          <w:p w14:paraId="32AA145F" w14:textId="77777777" w:rsidR="0062437E" w:rsidRDefault="00000000">
            <w:r>
              <w:rPr>
                <w:sz w:val="18"/>
              </w:rPr>
              <w:t>OR = 31.5</w:t>
            </w:r>
          </w:p>
        </w:tc>
        <w:tc>
          <w:tcPr>
            <w:tcW w:w="1280" w:type="dxa"/>
          </w:tcPr>
          <w:p w14:paraId="41DC4CDD" w14:textId="77777777" w:rsidR="0062437E" w:rsidRDefault="00000000">
            <w:r>
              <w:rPr>
                <w:sz w:val="18"/>
              </w:rPr>
              <w:t>2.9–339</w:t>
            </w:r>
          </w:p>
        </w:tc>
        <w:tc>
          <w:tcPr>
            <w:tcW w:w="605" w:type="dxa"/>
          </w:tcPr>
          <w:p w14:paraId="3B7D97A5" w14:textId="77777777" w:rsidR="0062437E" w:rsidRDefault="00000000">
            <w:r>
              <w:rPr>
                <w:sz w:val="18"/>
              </w:rPr>
              <w:t>30</w:t>
            </w:r>
          </w:p>
        </w:tc>
        <w:tc>
          <w:tcPr>
            <w:tcW w:w="2090" w:type="dxa"/>
          </w:tcPr>
          <w:p>
            <w:r/>
            <w:r>
              <w:rPr>
                <w:b/>
                <w:highlight w:val="yellow"/>
              </w:rPr>
              <w:t>Odds ratio; Table 5.3. Classification records not in archive — see §5.5</w:t>
            </w:r>
          </w:p>
        </w:tc>
      </w:tr>
      <w:tr w:rsidR="0062437E" w14:paraId="252E1D0D" w14:textId="77777777" w:rsidTr="006D68FE">
        <w:trPr>
          <w:jc w:val="center"/>
        </w:trPr>
        <w:tc>
          <w:tcPr>
            <w:tcW w:w="3114" w:type="dxa"/>
          </w:tcPr>
          <w:p>
            <w:r/>
            <w:r>
              <w:t>FRA index change, sustained participants (Stage 2)</w:t>
            </w:r>
          </w:p>
        </w:tc>
        <w:tc>
          <w:tcPr>
            <w:tcW w:w="1092" w:type="dxa"/>
          </w:tcPr>
          <w:p>
            <w:r/>
            <w:r>
              <w:t>dz = 2.22 (paired); mean +6.9 points</w:t>
            </w:r>
          </w:p>
        </w:tc>
        <w:tc>
          <w:tcPr>
            <w:tcW w:w="1280" w:type="dxa"/>
          </w:tcPr>
          <w:p>
            <w:r/>
            <w:r>
              <w:t>dz 0.95–3.46; mean 4.5–9.3</w:t>
            </w:r>
          </w:p>
        </w:tc>
        <w:tc>
          <w:tcPr>
            <w:tcW w:w="605" w:type="dxa"/>
          </w:tcPr>
          <w:p>
            <w:r/>
            <w:r>
              <w:t>9</w:t>
            </w:r>
          </w:p>
        </w:tc>
        <w:tc>
          <w:tcPr>
            <w:tcW w:w="2090" w:type="dxa"/>
          </w:tcPr>
          <w:p>
            <w:r/>
            <w:r>
              <w:t>Paired t and Wilcoxon; §5.5</w:t>
            </w:r>
          </w:p>
        </w:tc>
      </w:tr>
      <w:tr w:rsidR="0062437E" w14:paraId="305A8ACF" w14:textId="77777777" w:rsidTr="006D68FE">
        <w:trPr>
          <w:jc w:val="center"/>
        </w:trPr>
        <w:tc>
          <w:tcPr>
            <w:tcW w:w="3114" w:type="dxa"/>
          </w:tcPr>
          <w:p>
            <w:r/>
            <w:r>
              <w:t>FRA index change, all participants (Stage 2, archived paired data)</w:t>
            </w:r>
          </w:p>
        </w:tc>
        <w:tc>
          <w:tcPr>
            <w:tcW w:w="1092" w:type="dxa"/>
          </w:tcPr>
          <w:p>
            <w:r/>
            <w:r>
              <w:t>dz = 0.42; mean +4.0 points</w:t>
            </w:r>
          </w:p>
        </w:tc>
        <w:tc>
          <w:tcPr>
            <w:tcW w:w="1280" w:type="dxa"/>
          </w:tcPr>
          <w:p>
            <w:r/>
            <w:r>
              <w:t>dz 0.05–0.79; mean 0.5–7.6</w:t>
            </w:r>
          </w:p>
        </w:tc>
        <w:tc>
          <w:tcPr>
            <w:tcW w:w="605" w:type="dxa"/>
          </w:tcPr>
          <w:p>
            <w:r/>
            <w:r>
              <w:t>30</w:t>
            </w:r>
          </w:p>
        </w:tc>
        <w:tc>
          <w:tcPr>
            <w:tcW w:w="2090" w:type="dxa"/>
          </w:tcPr>
          <w:p>
            <w:r/>
            <w:r>
              <w:t>Paired t and Wilcoxon; §5.5</w:t>
            </w:r>
          </w:p>
        </w:tc>
      </w:tr>
      <w:tr w:rsidR="0062437E" w14:paraId="78498404" w14:textId="77777777" w:rsidTr="006D68FE">
        <w:trPr>
          <w:jc w:val="center"/>
        </w:trPr>
        <w:tc>
          <w:tcPr>
            <w:tcW w:w="3114" w:type="dxa"/>
          </w:tcPr>
          <w:p>
            <w:r/>
            <w:r>
              <w:t>Satisfaction association with sustained engagement (Stage 2)</w:t>
            </w:r>
          </w:p>
        </w:tc>
        <w:tc>
          <w:tcPr>
            <w:tcW w:w="1092" w:type="dxa"/>
          </w:tcPr>
          <w:p>
            <w:r/>
            <w:r>
              <w:t>9/9 vs 11/21 satisfied</w:t>
            </w:r>
          </w:p>
        </w:tc>
        <w:tc>
          <w:tcPr>
            <w:tcW w:w="1280" w:type="dxa"/>
          </w:tcPr>
          <w:p>
            <w:r/>
            <w:r>
              <w:t>p = 0.013</w:t>
            </w:r>
          </w:p>
        </w:tc>
        <w:tc>
          <w:tcPr>
            <w:tcW w:w="605" w:type="dxa"/>
          </w:tcPr>
          <w:p>
            <w:r/>
            <w:r>
              <w:t>30</w:t>
            </w:r>
          </w:p>
        </w:tc>
        <w:tc>
          <w:tcPr>
            <w:tcW w:w="2090" w:type="dxa"/>
          </w:tcPr>
          <w:p>
            <w:r/>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rPr>
                <w:sz w:val="18"/>
              </w:rPr>
              <w:t>13.3%</w:t>
            </w:r>
          </w:p>
        </w:tc>
        <w:tc>
          <w:tcPr>
            <w:tcW w:w="1280" w:type="dxa"/>
          </w:tcPr>
          <w:p w14:paraId="16BDF4BA" w14:textId="77777777" w:rsidR="0062437E" w:rsidRDefault="00000000">
            <w:r>
              <w:rPr>
                <w:sz w:val="18"/>
              </w:rPr>
              <w:t>6.3–26.2%*</w:t>
            </w:r>
          </w:p>
        </w:tc>
        <w:tc>
          <w:tcPr>
            <w:tcW w:w="605" w:type="dxa"/>
          </w:tcPr>
          <w:p w14:paraId="106237E0" w14:textId="77777777" w:rsidR="0062437E" w:rsidRDefault="00000000">
            <w:r>
              <w:rPr>
                <w:sz w:val="18"/>
              </w:rPr>
              <w:t>45</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rPr>
                <w:sz w:val="18"/>
              </w:rPr>
              <w:t>51.1%</w:t>
            </w:r>
          </w:p>
        </w:tc>
        <w:tc>
          <w:tcPr>
            <w:tcW w:w="1280" w:type="dxa"/>
          </w:tcPr>
          <w:p w14:paraId="102F2A94" w14:textId="77777777" w:rsidR="0062437E" w:rsidRDefault="00000000">
            <w:r>
              <w:rPr>
                <w:sz w:val="18"/>
              </w:rPr>
              <w:t>37.0–65.0%*</w:t>
            </w:r>
          </w:p>
        </w:tc>
        <w:tc>
          <w:tcPr>
            <w:tcW w:w="605" w:type="dxa"/>
          </w:tcPr>
          <w:p w14:paraId="7C812AF5" w14:textId="77777777" w:rsidR="0062437E" w:rsidRDefault="00000000">
            <w:r>
              <w:rPr>
                <w:sz w:val="18"/>
              </w:rPr>
              <w:t>45</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rPr>
                <w:sz w:val="18"/>
              </w:rPr>
              <w:t>35.6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rPr>
                <w:sz w:val="18"/>
              </w:rPr>
              <w:t>45</w:t>
            </w:r>
          </w:p>
        </w:tc>
        <w:tc>
          <w:tcPr>
            <w:tcW w:w="2090" w:type="dxa"/>
          </w:tcPr>
          <w:p w14:paraId="67A137BA" w14:textId="77777777" w:rsidR="00EE7E37" w:rsidRDefault="00000000">
            <w:r>
              <w:t>Difference between distinct outcomes (86.7% retention and 51.1%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35.6-percentage-point difference should respect the fact that retention and intention are distinct measures and may not represent a simple paired effect. The very wide interval around the week-2 motivational-orientation odds ratio, together with the absence of the classification from the archive, means that estimate should be treated as exploratory pending the author's coding records.</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Pr>
      <w:r>
        <w:lastRenderedPageBreak/>
        <w:t>Chapter 7 Discussion: Adaptive Learning and the Learning-Oriented Design Framework</w:t>
      </w:r>
      <w:bookmarkEnd w:id="111"/>
    </w:p>
    <w:p w14:paraId="108FF019" w14:textId="77777777" w:rsidR="0062437E" w:rsidRDefault="00000000">
      <w:pPr>
        <w:pStyle w:val="Heading2"/>
      </w:pPr>
      <w:r>
        <w:t>7.1 Why the Empirical Programme Motivates Adaptive Learning</w:t>
      </w:r>
    </w:p>
    <w:p w14:paraId="7CFAB031" w14:textId="77777777" w:rsidR="0062437E" w:rsidRDefault="00000000">
      <w:pPr>
        <w:jc w:val="both"/>
      </w:pPr>
      <w:r>
        <w:t>Stage 3 showed substantially greater post-failure return under a participant-facing decoupled condition and also revealed a difference between immediate session retention and stated regular-use intention in the oldest age band. Decoupling changes what the activity is not - it reduces overt clinical-verdict cues - but does not necessarily create a compelling positive reason for repeated use. Adaptive learning is introduced as one design response because it can make progress, next steps and personally calibrated challenge visible over time. The empirical programme motivates this response; it does not establish that adaptive learning will close the observed difference.</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LODF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 xml:space="preserve">Adaptive learning has a substantial literature in educational technology and intelligent tutoring systems. Its application to elderly users in gamified health contexts is more limited. Three anchors are relevant. First, intelligent tutoring systems for older learners (Hawthorn, 2007; Lee &amp; Coughlin, 2015) demonstrate that pacing and feedback adaptation matter more for older users than for younger users. Second, flow theory and the zone-of-proximal-development tradition (Csikszentmihalyi 1990; cf. Vygotsky) provide the mechanism for why adaptive calibration sustains engagement: challenge tracks evolving capability, neither falling below boredom nor rising above frustration. Third, productive failure (Kapur, 2008) reframes failure events as part of the learning </w:t>
      </w:r>
      <w:r>
        <w:lastRenderedPageBreak/>
        <w:t>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LODF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LODF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r>
        <w:t>7.4 The Learning-Oriented Design Framework (LODF)</w:t>
      </w:r>
      <w:bookmarkEnd w:id="113"/>
    </w:p>
    <w:p w14:paraId="41ACFB1A" w14:textId="77777777" w:rsidR="0062437E" w:rsidRDefault="00000000">
      <w:pPr>
        <w:jc w:val="both"/>
      </w:pPr>
      <w:r>
        <w:t xml:space="preserve">LODF organises three proposed principles.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w:t>
      </w:r>
      <w:r>
        <w:lastRenderedPageBreak/>
        <w:t>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w:t>
      </w:r>
    </w:p>
    <w:p w14:paraId="2429DB7B" w14:textId="77777777" w:rsidR="0062437E" w:rsidRDefault="00000000">
      <w:pPr>
        <w:pStyle w:val="TableCaption"/>
        <w:jc w:val="center"/>
      </w:pPr>
      <w:bookmarkStart w:id="114" w:name="_Toc232024705"/>
      <w:r>
        <w:t>Table 7.1. LODF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LODF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r>
        <w:t>7.5 Prototype Stack: Engineering-Actionable LODF Implementation</w:t>
      </w:r>
      <w:bookmarkEnd w:id="115"/>
    </w:p>
    <w:p w14:paraId="2BA671F8" w14:textId="77777777" w:rsidR="0062437E" w:rsidRDefault="00000000">
      <w:pPr>
        <w:jc w:val="both"/>
      </w:pPr>
      <w:r>
        <w:t>This section specifies the technical and protocol stack required to deploy LODF on existing FRA infrastructure. The stack extends the Stage-2 five-layer architecture with two additional protocol layers (User-Facing Trajectory Layer and Staff Coaching Protocol Layer) and one new instrumentation layer (LODF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r>
        <w:t>Table 7.2. LODF reference stack (L0–L7) mapped to LODF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LODF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LODF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rPr>
          <w:noProof/>
        </w:rPr>
        <w:lastRenderedPageBreak/>
        <w:drawing>
          <wp:inline distT="0" distB="0" distL="0" distR="0" wp14:anchorId="32D3F330" wp14:editId="664C0D16">
            <wp:extent cx="4836170" cy="31134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png"/>
                    <pic:cNvPicPr/>
                  </pic:nvPicPr>
                  <pic:blipFill>
                    <a:blip r:embed="rId20"/>
                    <a:stretch>
                      <a:fillRect/>
                    </a:stretch>
                  </pic:blipFill>
                  <pic:spPr>
                    <a:xfrm>
                      <a:off x="0" y="0"/>
                      <a:ext cx="4839706" cy="3115681"/>
                    </a:xfrm>
                    <a:prstGeom prst="rect">
                      <a:avLst/>
                    </a:prstGeom>
                  </pic:spPr>
                </pic:pic>
              </a:graphicData>
            </a:graphic>
          </wp:inline>
        </w:drawing>
      </w:r>
    </w:p>
    <w:p w14:paraId="2910E907" w14:textId="77777777" w:rsidR="0062437E" w:rsidRDefault="00000000">
      <w:pPr>
        <w:pStyle w:val="FigureCaption"/>
        <w:jc w:val="center"/>
      </w:pPr>
      <w:bookmarkStart w:id="118" w:name="_Toc232024692"/>
      <w:r>
        <w:t>Figure 7.1. LODF reference stack: existing five-layer FRA architecture (L0–L4) extended with three additional layers (L5 User-Facing Trajectory; L6 Staff Coaching Protocol; L7 LODF Telemetry).</w:t>
      </w:r>
      <w:bookmarkEnd w:id="118"/>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LODF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LODF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t>The thesis makes four principal theoretical contributions. First, it identifies failure-associated non-return as a post-contact behaviour that is not explicit in standard acceptance and gamification models. Second, it develops the FIDS-to-FIAS terminological revision and defines FIAS as a provisional, non-diagnostic behavioural construct. Third, it integrates self-efficacy, loss aversion, identity-relevant endowment, mental accounting and stereotype threat into a candidate frame-sensitive account that yields testable predictions. Fourth, it proposes that learning-trajectory appraisal can compete with a fixed-verdict appraisal and translates that proposition into LODF. The thesis does not claim to have verified mental accounting, established an entropy collapse, dissolved the score-improvement/non-return paradox, or demonstrated mutual exclusivity between endowment and adaptive learning.</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dual-purpose mechanic linking gameplay and a measurement pathway in one physical action; documentation of the Claude Code-assisted development workflow; theory-iterating action research with explicit revision points; a between-cohort quasi-experimental participant-facing decoupling comparison; and the use of a commitment-gap description to separate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an exploratory week-2 motivational-orientation odds ratio of 31.5 whose coding records remain to be archived; recorded-index increase without self-reported improvement or return among most single-session participants; 65.2% return among Stage-3 initial dropouts overall and 62.5% in the 65-80 band, pending completion of the Stage-3 data logbook; 71.7% coordination-frame endorsement as a manipulation check; 63.3% regular-use intention overall; and a descriptive 35.6-percentage-point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LODF is engineering-actionable in the sense that its components can be specified on existing infrastructure. Its empirical status is that of a proposed framework informed by field evidence and learning theory. The reference stack and prototype specification translate principles into components, while the applied case studies illustrate hypotheses for other domains.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LODF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(LODF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One material data-loss event is disclosed: the Stage-3 participant-level records were lost to a technical error after the aggregate results were computed and reported. The archived logbook preserves the published aggregates together with a reconciliation harness for any records that can be re-transcribed from surviving primary sources (Appendix G, item G.3); Chapter 6 rests on the published aggregate record unless and until the participant-level records are recovered.</w:t>
      </w:r>
    </w:p>
    <w:p w14:paraId="440D872A" w14:textId="77777777" w:rsidR="0062437E" w:rsidRDefault="00000000">
      <w:pPr>
        <w:pStyle w:val="AuthorAction"/>
        <w:jc w:val="both"/>
      </w:pPr>
      <w:r>
        <w:t xml:space="preserve">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w:t>
      </w:r>
      <w:r>
        <w:rPr>
          <w:b/>
          <w:highlight w:val="yellow"/>
        </w:rPr>
        <w:t>[AUTHOR INPUT REQUIRED: record the model name and vendor, the version or dated endpoint, the system and user prompts, the LangChain configuration, temperature and other generation settings, fallback rules and any manual overrides. Earlier drafts named different vendors in §5.3 and Appendix E; the final record must state the endpoint actually deployed]</w:t>
      </w:r>
      <w:r>
        <w:t xml:space="preserve">. Third, the appendices bind the verbatim language versions of all instruments, the translation procedure, the complete FIAS codebook with inter-coder reliability, the consent materials and the photographic record </w:t>
      </w:r>
      <w:r>
        <w:rPr>
          <w:b/>
          <w:highlight w:val="yellow"/>
        </w:rPr>
        <w:t>[AUTHOR INPUT REQUIRED: complete this documentation at the marked positions in Appendices A–D and G before binding]</w:t>
      </w:r>
      <w:r>
        <w:t>.</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w:t>
      </w:r>
    </w:p>
    <w:p w14:paraId="6657E3B0" w14:textId="77777777" w:rsidR="0062437E" w:rsidRDefault="00000000">
      <w:pPr>
        <w:jc w:val="both"/>
      </w:pPr>
      <w:r>
        <w:t>The programme was conducted as sequential action research. The conclusion distinguishes three levels of claim: observed results, theoretically informed inferences and proposed design responses. This distinction is central to the thesis's final warrant.</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w:t>
      </w:r>
    </w:p>
    <w:p w14:paraId="32A7755A" w14:textId="77777777" w:rsidR="0062437E" w:rsidRDefault="00000000">
      <w:pPr>
        <w:jc w:val="both"/>
      </w:pPr>
      <w:r>
        <w:t xml:space="preserve">Stage 3 examined a participant-facing decoupling package in a separate Hong Kong community cohort of 120 adults. The same broad pressure-panel and skiing-game </w:t>
      </w:r>
      <w:r>
        <w:lastRenderedPageBreak/>
        <w:t>structure was retained, while clinical recruitment language, pre-session procedure, labels and participant-facing outputs were changed. Observed non-return was 6.7% overall and 13.3%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 xml:space="preserve">FIAS is therefore advanced as a provisional construct describing failure-associated active non-return under identity-relevant conditions. The thesis's principal theoretical contribution is the identification of coupling and framing as a plausible locus of </w:t>
      </w:r>
      <w:r>
        <w:lastRenderedPageBreak/>
        <w:t>engagement risk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preserve the viability of gamified coordination and balance activities for older users. The findings do not imply that game design theory fails in clinical settings. Rather, they indicate that the participant-facing relationship between gameplay, assessment language and clinical interpretation deserves explicit design attention.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86.7% and stated regular-use intention was 51.1%. The 35.6-percentage-point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 xml:space="preserve">Adaptive learning is proposed as one design response because it can present performance as a trajectory, specify the next achievable step and calibrate challenge, feedback and </w:t>
      </w:r>
      <w:r>
        <w:lastRenderedPageBreak/>
        <w:t>pacing. LODF formalises three components: identity disentanglement, trajectory installation and adaptive calibration. The framework is not yet empirically validated as a package, and the Stage-3 result should not be treated as a test of adaptive learning.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LODF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t xml:space="preserve">The thesis offers four theoretical contributions. First, it identifies failure-associated non-return as a post-contact problem insufficiently represented in standard acceptance models. Second, it introduces FIAS as a provisional, non-diagnostic construct that distinguishes active non-return from administrative dropout. Third, it integrates self-efficacy and behavioural-economics literatures into a candidate frame-sensitive mechanism with </w:t>
      </w:r>
      <w:r>
        <w:lastRenderedPageBreak/>
        <w:t>explicit measurement requirements. Fourth, it formulates endowment-protective and learning-trajectory appraisals as competing regimes and translates that formulation into a falsifiable engineering framework. The thesis does not claim empirical verification of mental accounting, irreversible account closure or mutual exclusion.</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a deployable design specification. LODF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LODF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rPr>
          <w:noProof/>
        </w:rPr>
        <w:drawing>
          <wp:inline distT="0" distB="0" distL="0" distR="0" wp14:anchorId="1BFD3204" wp14:editId="5B74963F">
            <wp:extent cx="5120640" cy="3136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2.png"/>
                    <pic:cNvPicPr/>
                  </pic:nvPicPr>
                  <pic:blipFill>
                    <a:blip r:embed="rId21"/>
                    <a:stretch>
                      <a:fillRect/>
                    </a:stretch>
                  </pic:blipFill>
                  <pic:spPr>
                    <a:xfrm>
                      <a:off x="0" y="0"/>
                      <a:ext cx="5120640" cy="3136050"/>
                    </a:xfrm>
                    <a:prstGeom prst="rect">
                      <a:avLst/>
                    </a:prstGeom>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LODF,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LODF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At the individual level, an adverse first experience may be interpreted in ways that influence return. At the cohort level, first failure was associated with observed dropout in Stage 2, while post-failure return was substantially higher in a separate Stage-3 decoupled cohort. At the design level, these findings motivate participant-facing decoupling, trajectory-oriented feedback and adaptive calibration. At the system level, they motivate a future comparison between telemetry-conditioned and person-conditioned adaptation. The evidence is strongest at the behavioural level and progressively more provisional as it moves toward mechanism and future architecture.</w:t>
      </w:r>
    </w:p>
    <w:p w14:paraId="3CB31C06" w14:textId="77777777" w:rsidR="0062437E" w:rsidRDefault="00000000">
      <w:pPr>
        <w:jc w:val="both"/>
      </w:pPr>
      <w:r>
        <w:t>The contribution is therefore a calibrated chain rather than one mechanism demonstrated at four scales. The survey identified a problem signature; Stage 2 characterised failure-associated non-return and the divergence between score change and return; Stage 3 provided convergent quasi-experimental evidence for a frame-sensitive account; LODF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b/>
          <w:highlight w:val="yellow"/>
        </w:rPr>
        <w:t>[AUTHOR INPUT REQUIRED: insert the verbatim Mandarin wording of the six survey items, the bilingual back-translation record, and the inter-rater agreement statistics for the staff administrators.]</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b/>
          <w:highlight w:val="yellow"/>
        </w:rPr>
        <w:t>[AUTHOR INPUT REQUIRED: insert the full thirteen-attribute coding rules table (including the item-to-composite mapping onto the 0–10 range), the inter-coder reliability statistics (Cohen's κ across the two trained coders), and the four worked-example transcripts that calibrate F1 through F4.]</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b/>
          <w:highlight w:val="yellow"/>
        </w:rPr>
        <w:t>[AUTHOR INPUT REQUIRED: insert the verbatim bilingual question wording, the staff-administered consent script, and one sample anonymised transcript for an F4 participant.]</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b/>
          <w:highlight w:val="yellow"/>
        </w:rPr>
        <w:t>[AUTHOR INPUT REQUIRED: insert the verbatim Cantonese, Mandarin and English wording of items D1 and D2, and the scale-level reliability (α) computed at the close of Stage 3.]</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r>
        <w:lastRenderedPageBreak/>
        <w:t>Appendix E · Five-Layer Architecture and LODF Reference Stack</w:t>
      </w:r>
      <w:bookmarkEnd w:id="176"/>
    </w:p>
    <w:p w14:paraId="2F195BE2" w14:textId="77777777" w:rsidR="0062437E" w:rsidRDefault="00000000">
      <w:pPr>
        <w:jc w:val="both"/>
      </w:pPr>
      <w:r>
        <w:t>The Stage-2 deployment ran on a five-layer architecture that has been the operational platform for both the in-frame skiing game and the decoupled Stage-3 condition. The full LODF reference stack adds three further layers (L5 User-Facing Trajectory, L6 Staff Coaching Protocol, L7 LODF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r>
        <w:t>E.2 · Layers L5–L7 (LODF Reference Stack)</w:t>
      </w:r>
      <w:bookmarkEnd w:id="178"/>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LODF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35.6-percentage-point difference in the 65-80 band between observed session retention (86.7%) and stated regular-use intention (51.1%). It is descriptive and does not identify a single cause.</w:t>
            </w:r>
          </w:p>
        </w:tc>
      </w:tr>
      <w:tr w:rsidR="0062437E" w14:paraId="291D7747" w14:textId="77777777" w:rsidTr="00FD5D21">
        <w:trPr>
          <w:jc w:val="center"/>
        </w:trPr>
        <w:tc>
          <w:tcPr>
            <w:tcW w:w="2552" w:type="dxa"/>
          </w:tcPr>
          <w:p w14:paraId="17D9BA8A" w14:textId="77777777" w:rsidR="0062437E" w:rsidRDefault="00000000">
            <w:r>
              <w:rPr>
                <w:sz w:val="20"/>
              </w:rP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t xml:space="preserve">G.1  Cleaned Stage-1 survey response file (CSV). </w:t>
      </w:r>
      <w:r>
        <w:rPr>
          <w:b/>
          <w:highlight w:val="yellow"/>
        </w:rPr>
        <w:t>[AUTHOR INPUT REQUIRED: attach file]</w:t>
      </w:r>
    </w:p>
    <w:p>
      <w: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w:t>
      </w:r>
      <w:r>
        <w:rPr>
          <w:b/>
          <w:highlight w:val="yellow"/>
        </w:rPr>
        <w:t>[AUTHOR INPUT REQUIRED: session-level telemetry with timestamps and AI-call logs was not part of this archive — attach it if it exists, or state in §8.9 that it was not retained]</w:t>
      </w:r>
    </w:p>
    <w:p>
      <w:r>
        <w:t xml:space="preserve">G.3  Stage-3 data logbook (Stage3_Data_Logbook_120cases_with_Reconciliation.xlsx): codebook with provenance note, participant/telemetry/questionnaire/outcome sheets for IDs 3001–3120, the published aggregate results (Published_Summary sheet, transcribed from Paper 3) and a live Reconciliation sheet. The original participant-level records were lost to a technical error; row-level entries may be added only by transcription from surviving primary records. </w:t>
      </w:r>
      <w:r>
        <w:rPr>
          <w:b/>
          <w:highlight w:val="yellow"/>
        </w:rPr>
        <w:t>[AUTHOR INPUT REQUIRED: transcribe surviving primary records, or confirm the data-loss statement in §8.9 as final]</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t xml:space="preserve">G.7  AI prompt-template archive used in Layer 2 (system and user prompts, versions and settings). </w:t>
      </w:r>
      <w:r>
        <w:rPr>
          <w:b/>
          <w:highlight w:val="yellow"/>
        </w:rPr>
        <w:t>[AUTHOR INPUT REQUIRED: attach archive]</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published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