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HSESC Application — 'Basics' Section: Draft Answers</w:t>
      </w:r>
    </w:p>
    <w:p>
      <w:pPr>
        <w:jc w:val="center"/>
      </w:pPr>
      <w:r>
        <w:rPr>
          <w:i/>
          <w:sz w:val="19"/>
        </w:rPr>
        <w:t>Project: Leveraging Gamification as a Proactive Approach for Continuous Improvement and Innovation Enhancement</w:t>
        <w:br/>
        <w:t>Applicant/PI arrangement per supervisor's instruction · Drafted 5 August 2026</w:t>
        <w:br/>
        <w:t>NOTE: These drafts state plainly that the empirical programme has been substantially conducted and that review of procedures as conducted is sought. Do not remove those statements — the committee must see the true timeline. Review with Prof. Cheung before submission.</w:t>
      </w:r>
    </w:p>
    <w:p>
      <w:pPr>
        <w:pStyle w:val="Heading1"/>
      </w:pPr>
      <w:r>
        <w:t>1. Background, Current Evidence and Key References</w:t>
      </w:r>
    </w:p>
    <w:p>
      <w:r>
        <w:t>Falls are a leading cause of injury, loss of independence and mortality among older adults, and regular balance assessment and training are among the most effective preventive measures (World Health Organization). Clinical Fall Risk Assessment (FRA) platforms exist and are deployed in rehabilitation settings in Hong Kong and the region; however, sustained use is poor. The applicant's professional observation, and the wider literature on attrition in digital health interventions, indicate that older adults frequently disengage from beneficial health technologies within weeks, and that disengagement is often permanent.</w:t>
      </w:r>
    </w:p>
    <w:p>
      <w:r>
        <w:t>Gamification — the use of game elements in non-game contexts — has documented promise for engagement in health contexts (Deterding et al., 2011; Koivisto &amp; Malik, 2021; Tsai et al., 2020), including for older adults' technology adoption within this research group's lineage (An et al., 2024, 2025). Learning-theoretic accounts (flow, Csikszentmihalyi, 1990; the zone of proximal development, Vygotsky, 1978; selective optimisation with compensation, Baltes &amp; Baltes, 1990) predict that engagement is sustained when challenge is calibrated to the individual. Trials such as PRISM (Czaja et al., 2018) and the Synapse Project (Park et al., 2014) show older adults sustain demanding engagement when tasks are scaffolded and socially supported.</w:t>
      </w:r>
    </w:p>
    <w:p>
      <w:r>
        <w:t>What the literature does not explain is a pattern the applicant observed in practice: older users who play a gamified assessment willingly, improve at it, and nevertheless abandon it permanently after receiving unfavourable assessment results. This programme names and investigates that pattern — failure-induced disengagement and abandonment (FIDS/FIAS) — and asks what it implies for the design of health technologies that must repeatedly deliver verdicts about ageing bodies. Key references are held in the thesis reference list and can be supplied in full.</w:t>
      </w:r>
    </w:p>
    <w:p>
      <w:pPr>
        <w:pStyle w:val="Heading1"/>
      </w:pPr>
      <w:r>
        <w:t>2. Objectives of Study</w:t>
      </w:r>
    </w:p>
    <w:p>
      <w:r>
        <w:t>(1) To document and characterise the abandonment of gamified fall-risk assessment technology by older adults in a real deployment, distinguishing disengagement from the game from abandonment of the underlying health technology.</w:t>
      </w:r>
    </w:p>
    <w:p>
      <w:r>
        <w:t>(2) To identify the mechanism of abandonment — specifically, whether abandonment is attributable to game difficulty and usability, or to the clinical verdict the technology delivers and its threat to the older user's self-concept.</w:t>
      </w:r>
    </w:p>
    <w:p>
      <w:r>
        <w:t>(3) To test the frame-sensitivity of acceptance: whether presenting the same physical activity decoupled from clinical framing changes older adults' willingness to engage and their intention to continue, and whether this sensitivity is age-graded.</w:t>
      </w:r>
    </w:p>
    <w:p>
      <w:r>
        <w:t>(4) To derive a design framework (adaptive challenge calibration, trajectory-based feedback, coaching support) for making measurement-bearing health technology acceptable for sustained use, and to validate its interpretation through expert consultation.</w:t>
      </w:r>
    </w:p>
    <w:p>
      <w:pPr>
        <w:pStyle w:val="Heading1"/>
      </w:pPr>
      <w:r>
        <w:t>3. Hypothesis, if any</w:t>
      </w:r>
    </w:p>
    <w:p>
      <w:r>
        <w:t>Central hypothesis (H0): older adults' abandonment of the gamified FRA arises from the health verdict the system delivers — its threat to self-concept — rather than from game failure, difficulty or usability as such.</w:t>
      </w:r>
    </w:p>
    <w:p>
      <w:r>
        <w:t>Subsidiary predictions: (H1) disengagement events cluster after unfavourable assessment outcomes rather than after in-game failure alone; (H2) re-engagement after verdict-linked disengagement is rare to absent under clinical framing; (H4) when the same activity is presented with the clinical frame decoupled, willingness to engage rises and the age gradient of refusal flattens relative to the clinically framed deployment; age-graded frame sensitivity (older bands more sensitive to clinical framing) is expected. One originally registered hypothesis concerning social comparison (H3) was retired as not separably testable; the thesis discloses this.</w:t>
      </w:r>
    </w:p>
    <w:p>
      <w:pPr>
        <w:pStyle w:val="Heading1"/>
      </w:pPr>
      <w:r>
        <w:t>4. Elements of Research Methodology that Involve Human Subjects</w:t>
      </w:r>
    </w:p>
    <w:p>
      <w:r>
        <w:t>IMPORTANT TIMING STATEMENT: the empirical programme has been substantially conducted (2024 through April 2026) in the applicant's professional and community context; this application seeks the Committee's review and characterisation of the procedures as conducted, and prospective coverage of the remaining activities (completion of expert-consultation documentation, participant validation of summaries, and archival assembly). The procedures were as follows.</w:t>
      </w:r>
    </w:p>
    <w:p>
      <w:r>
        <w:t>Stage 1 — Attitude survey. A six-item survey of adults in the applicant's professional network region concerning attitudes to health technology and assessment (approximately 200 respondents of 280 invited). Anonymous; no health data collected.</w:t>
      </w:r>
    </w:p>
    <w:p>
      <w:r>
        <w:t>Stage 2 — Facility deployment (n=30). An eight-week deployment of a gamified balance-platform FRA in an elderly-care facility, arranged with and known to the facility's operators, nursing staff and general manager (gatekeeper consent; the arrangement conversation is documented). Participants were invited by the facility to try the activity as a facility activity and were not told at the time that play formed part of a research project: the study's subject matter is assessment fear, and disclosure of an assessment/research frame would have re-imposed the very condition under study (incomplete disclosure with scientific rationale). No photography of participants was permitted or conducted. An after-activity paper questionnaire was completed by all thirty participants. After the eight-week window, the nine participants who had persisted throughout were individually informed and gave written consent, recorded at a small rewards presentation (all written consent was therefore retrospective); intensive interviews were conducted with these nine (Mandarin/Cantonese, paper questionnaire, researcher's notes as primary record) and with three centre managers. Dropouts were not interviewed. A designed nine-question interview protocol for one sub-group (F4) was never administered.</w:t>
      </w:r>
    </w:p>
    <w:p>
      <w:r>
        <w:t>Stage 3 — Remote decoupled deployment (register n=120). The game was ported to a browser HTML build with the clinical platform decoupled and distributed by e-mail through the applicant's networks (family and personal contacts, work contacts, a charity community network, university support channels, medical-centre peers), partly via distributors who forwarded it onward. Invitation e-mails disclosed the doctoral research context, including the programme's fall-risk origin, and were accompanied by the applicant's research introduction; the game itself carried no clinical language and delivered no clinical output. Participation was voluntary and unpaid; enrolment collected age band, gender and education only (no names); play was unsupervised on participants' own devices; returning the game's results file and a two-item post-game questionnaire constituted consent (implied-consent model; no written instrument — an acknowledged limitation). Distributor-level records and transmittals are being compiled into an auditable logbook.</w:t>
      </w:r>
    </w:p>
    <w:p>
      <w:r>
        <w:t>Expert consultations (n=4, March-August 2026). Semi-structured consultations with four professionals (gerontology/medical sociology; hospital neurology; physiotherapy; naturopathic practice) to interpret findings and review the design framework. Signed consent forms are held for three (one further form is awaited); where interviews preceded written consent, both dates are stated in the records (retrospective consent disclosed). Each expert chose named or anonymous attribution on the form; one elected anonymity and is pseudonymised in all outputs. Interview summaries are returned to participants for validation (member checking).</w:t>
      </w:r>
    </w:p>
    <w:p>
      <w:r>
        <w:t>Data handling (all stages): no participant names in analysis data; aggregate reporting; records stored on access-controlled systems; withdrawal honoured on request. Full instruments, consent artifacts and provenance records are archived and can be supplied to the Committee.</w:t>
      </w:r>
    </w:p>
    <w:p>
      <w:pPr>
        <w:pStyle w:val="Heading1"/>
      </w:pPr>
      <w:r>
        <w:t>5. Statement of Potential Value / Impact / Scientific Relevance</w:t>
      </w:r>
    </w:p>
    <w:p>
      <w:r>
        <w:t>Contribution to knowledge. The programme contributes (1) a named and documented failure mode — failure-induced abandonment (FIAS) — in which older adults permanently abandon beneficial health technology after unfavourable assessment verdicts despite willing and improving engagement with the activity itself; (2) field evidence that acceptance is frame-sensitive and that this sensitivity is age-graded: the same physical activity, decoupled from clinical framing, was accepted and retained at markedly higher rates, especially in the oldest band; (3) an adaptive-learning design framework specifying how measurement-bearing technology can remain acceptable — challenge calibrated to the individual, results presented as a personal trajectory, coaching absorbing the failure moment; and (4) expert practice validation across four professional standpoints.</w:t>
      </w:r>
    </w:p>
    <w:p>
      <w:r>
        <w:t>Contribution to healthcare development. Fall-risk assessment is under-practised in Hong Kong relative to its preventive value; practitioner consultation in this programme confirms that ease of use, fear of unfavourable results and lack of perceived importance suppress uptake. The gamified, decoupled approach demonstrates a practicable route to repeatable, acceptable assessment for the population that most needs it. As AI-enabled health technology brings continuous monitoring and more frequent risk verdicts to older populations, design that prevents verdict-driven abandonment becomes a public-health concern: this programme provides the behavioural layer — the failure model and the design discipline — that such technologies will require to remain in sustained, beneficial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