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Stage 3B — Mini-Protocol (DRAFT for supervisor sign-off)</w:t>
      </w:r>
    </w:p>
    <w:p>
      <w:pPr>
        <w:jc w:val="center"/>
      </w:pPr>
      <w:r>
        <w:rPr>
          <w:i/>
          <w:sz w:val="19"/>
        </w:rPr>
        <w:t>First field deployment of the adaptive-learning framework · Sidney K. T. Tam · Chief Supervisor: Prof. Benny C. F. Cheung · August 2026</w:t>
        <w:br/>
        <w:t>To be dated and filed BEFORE the first invitation is sent. Recruitment starts only after the ethics-scope check (approved application snapshot) confirms coverage, or a change request is approved.</w:t>
      </w:r>
    </w:p>
    <w:p>
      <w:pPr>
        <w:pStyle w:val="Heading1"/>
      </w:pPr>
      <w:r>
        <w:t>1. Position in the research programme</w:t>
      </w:r>
    </w:p>
    <w:p>
      <w:r>
        <w:t>This study is NOT an AI study. The research programme concerns older adults' behaviour when facing health tests and checks; its central finding is psychological — the threat that assessment verdicts pose to the older user's self-concept (FIAS), and the self-cognitive desire that governs whether engagement survives. Gamification helps but is not sufficient on its own; the March-April 2026 deployment (Stage 3, reported as conducted) showed that removing the clinical frame restores acceptance. Stage 3B tests the programme's constructive answer: the Chapter 7 adaptive-learning framework — challenge calibrated to the individual, results presented as a personal trajectory, coaching absorbing the failure moment. AI serves strictly as a facilitating tool for that adaptive learning, and is reported as such.</w:t>
      </w:r>
    </w:p>
    <w:p>
      <w:pPr>
        <w:pStyle w:val="Heading1"/>
      </w:pPr>
      <w:r>
        <w:t>2. Hypothesis</w:t>
      </w:r>
    </w:p>
    <w:p>
      <w:r>
        <w:t>H-3B (directional): an adaptively calibrated game that presents performance as a personal trajectory with supportive coaching can sustain older adults' engagement and willingness to return EVEN WHEN the activity visibly measures them — i.e., the adaptive approach addresses the psychological impact (self-concept threat) that drives abandonment, and AI is a viable tool to facilitate that learning process.</w:t>
      </w:r>
    </w:p>
    <w:p>
      <w:r>
        <w:t>Null form (H0-3B): the adaptive presentation produces no difference in engagement, return behaviour or stated intention relative to a non-adaptive presentation of the same game; in that case the framework claim fails and is reported as failed.</w:t>
      </w:r>
    </w:p>
    <w:p>
      <w:r>
        <w:t>Author's prior expectation, stated for the record: the author is confident the conclusions of Stage 3 will be supported and the framework will show the predicted effect. This protocol exists so that the data can confirm or refute that expectation independently.</w:t>
      </w:r>
    </w:p>
    <w:p>
      <w:pPr>
        <w:pStyle w:val="Heading1"/>
      </w:pPr>
      <w:r>
        <w:t>3. Design</w:t>
      </w:r>
    </w:p>
    <w:p>
      <w:r>
        <w:t>DECISION FOR SUPERVISOR — one of two designs:</w:t>
      </w:r>
    </w:p>
    <w:p>
      <w:r>
        <w:t>Option A (recommended if N &gt;= 40): two-arm, individually randomised at first launch inside the build. Arm 1 'adaptive': rule-agent difficulty calibration + trajectory display ('your best runs over time') + coaching messages. Arm 2 'static': fixed moderate difficulty, plain score display, no coaching. Same game, same length, same questionnaire. This is the cleanest first test of the framework: the only differences between arms are the framework elements themselves.</w:t>
      </w:r>
    </w:p>
    <w:p>
      <w:r>
        <w:t>Option B (if recruitment is limited): single-arm adaptive deployment, with the March-April Stage-3 record as a between-cohort, clearly-caveated comparator (as Stage 3 itself was compared with Stage 2).</w:t>
      </w:r>
    </w:p>
    <w:p>
      <w:r>
        <w:t>KEY DESIGN POINT in both options: unlike Stage 3 (which removed all performance verdicts), Stage 3B deliberately REINTRODUCES gentle, trajectory-framed measurement. The framework's claim is not that measurement must be hidden but that it can be made bearable. Stage 3B is the direct test of whether the occupied middle ground of Figure 8.1 is real.</w:t>
      </w:r>
    </w:p>
    <w:p>
      <w:pPr>
        <w:pStyle w:val="Heading1"/>
      </w:pPr>
      <w:r>
        <w:t>4. Participants, recruitment, consent</w:t>
      </w:r>
    </w:p>
    <w:p>
      <w:r>
        <w:t>Target: 40-60 community-dwelling adults aged 25-80, recruited in the same three bands as Stage 3 (25-44 / 45-64 / 65-80) for continuity, with the 65-80 band prioritised. Recruitment by e-mail/messaging invitation through the author's networks and named distributors, each logged in the channel map from day one (invitation date, chain, target range). Consent: RECORDED in-build — a consent screen stating the research purpose, voluntariness, anonymity and data use, requiring an explicit tap/click before play; the consent event is written into the export. This upgrades Stage 3's implied-consent model.</w:t>
      </w:r>
    </w:p>
    <w:p>
      <w:pPr>
        <w:pStyle w:val="Heading1"/>
      </w:pPr>
      <w:r>
        <w:t>5. Instruments and data</w:t>
      </w:r>
    </w:p>
    <w:p>
      <w:r>
        <w:t>The v3.0 build collects, in ONE export file per participant: (a) consent event; (b) enrolment — age band, gender, education (no names); (c) session telemetry and state-change log (rule-agent decisions logged with reasons); (d) end-screen questionnaire: D1 (coordination-challenge endorsement) and D2 (regular-play intention) unchanged for comparability, plus two framework items: F1 'the game matched my ability' and F2 'seeing my progress made me want to continue'; (e) arm assignment (Option A). Response scale: [5-point, confirm against Appendix D decision]. Return: one share-sheet/e-mail action; every return logged with date on arrival.</w:t>
      </w:r>
    </w:p>
    <w:p>
      <w:pPr>
        <w:pStyle w:val="Heading1"/>
      </w:pPr>
      <w:r>
        <w:t>6. AI transparency commitments</w:t>
      </w:r>
    </w:p>
    <w:p>
      <w:r>
        <w:t>The adaptive core is the deterministic rule agent (fully logged, reasons recorded). If a language-model service is used for coaching text, it receives ONLY non-identifying aggregate game parameters; every call is logged (endpoint, model, prompt template, timestamp) and the record archived (G.7). If no external service is used, coaching text is template-based and stated as such. The thesis reports the mechanism exactly as built.</w:t>
      </w:r>
    </w:p>
    <w:p>
      <w:pPr>
        <w:pStyle w:val="Heading1"/>
      </w:pPr>
      <w:r>
        <w:t>7. Outcomes and analysis</w:t>
      </w:r>
    </w:p>
    <w:p>
      <w:r>
        <w:t>Primary (behavioural): voluntary sessions played per participant; return after a below-personal-best run (the FIAS-critical behaviour). Secondary: D1, D2, F1, F2; completion of the five-attempt structure; band differences. Analysis: descriptive proportions with Wilson CIs; arm comparison (Option A) by proportion difference; band gradients compared with Stage 3's pattern as an indicative, build-caveated cross-check — NOT as replication. All outcomes reported regardless of direction.</w:t>
      </w:r>
    </w:p>
    <w:p>
      <w:pPr>
        <w:pStyle w:val="Heading1"/>
      </w:pPr>
      <w:r>
        <w:t>8. Window and reporting</w:t>
      </w:r>
    </w:p>
    <w:p>
      <w:r>
        <w:t>Collection window: [start date] to [end date] (approx. 4 weeks), within the approved research period ending October 2026. Reporting: a new thesis section (Stage 3B) plus rewrite of section 8.8 from 'proposed programme' to 'first deployment conducted'; the March-April Stage-3 record remains reported as conducted, unchanged. Data governance, retention and confidentiality: identical to the approved application (ten-year retention; identifier separation; aggregate reporting).</w:t>
      </w:r>
    </w:p>
    <w:p>
      <w:pPr>
        <w:pStyle w:val="Heading1"/>
      </w:pPr>
      <w:r>
        <w:t>9. Sign-off</w:t>
      </w:r>
    </w:p>
    <w:p>
      <w:r>
        <w:t>Author: ____________________  Date: ____________</w:t>
      </w:r>
    </w:p>
    <w:p>
      <w:r>
        <w:t>Chief Supervisor: ____________________  Date: ____________</w:t>
      </w:r>
    </w:p>
    <w:p>
      <w:r>
        <w:t>Ethics scope: covered by HSEARS20260805008 as approved [ ] / change request filed and approved, ref: ____________ [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