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79</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82</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85</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92</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199</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224</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224</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228</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231</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243</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245</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91</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231</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241</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weight-shift control input is turned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78</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238</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239</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242</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weight-shift control input is turned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foot pad was adopted.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Pygame skiing task; it consumes the control input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control events,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is the InBody FRA measurement running in parallel on the footplate beneath the mat: it is not part of the game software, received no data from it, and its index was read by the therapist from the InBody terminal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The '80% / 40%' values in the L2 box are the controller's rule thresholds (step up above an 80% success rate, ease off below 40%), not a measured flow state.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control-input sequences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control-input sequences (left and right steering events) was run through the game logic to verify that the steering mapping, the obstacle collision detection, and the coin pickup logic responded correctly to known inputs. The synthetic sequences themselves were generated by Claude Code from a written specification of expected steering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Two methodological points follow from this development pattern. First, the use of Claude Code did not change the engineering content of the system. The five-layer architecture, the dual-purpose mechanic, the weight-shift-to-control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control events,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the HUR-type balance platform (coupling method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control-input sequences of §5.3.9,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