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Decoupling the Clinical Attachment from Gamified Fall Risk Assessment: Between-Cohort Evidence for a Frame-Sensitive Account of Elderly Abandonment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Earlier work in this programme documented rapid, permanent abandonment of a gamified, AI-assisted Fall Risk Assessment (FRA) by elderly residents after first failure: 70.0% disengaged at or before three game cycles and none returned,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deployment in which the same broad apparatus, skiing mechanic, five-attempt rule and session length were retained while the participant-facing clinical attachment was removed as a package — recruitment language, pre-session clinical scan, clinical labels and participant-facing clinical outputs — and the activity was framed as an eye-leg coordination challenge. One hundred and twenty community-dwelling adults aged 25-80 were recruited in Hong Kong across three age bands (38 aged 25-44, 41 aged 45-64, 41 aged 65-80). In the preliminary aggregate record, retention at the end of the study window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A residual 29.3-percentage-point gap between session retention and regular-use intention in the oldest band motivates adaptive learning — trajectory-oriented feedback with calibrated challenge — as the design response, and a pre-specified within-cohort randomised study as the confirmatory test.</w:t>
      </w:r>
    </w:p>
    <w:p>
      <w:r>
        <w:t>Keywords: fall risk assessment, gamification, elderly technology abandonment, FIAS, decoupling, framing, endowment effect, adaptive learning.</w:t>
      </w:r>
    </w:p>
    <w:p>
      <w:pPr>
        <w:pStyle w:val="Heading1"/>
      </w:pPr>
      <w:r>
        <w:t>I. Introduction</w:t>
      </w:r>
    </w:p>
    <w:p>
      <w: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disengaged at or before three cycles, 26.7% exited after a single session, and none of the 21 disengaged participants re-engaged during the study window (95% CI 0.0-15.5%) [2]. Most strikingly, three of the six participants in the strongest-abandonment cluster recorded a positive change in the balance index during their single session and still did not return.</w:t>
      </w:r>
    </w:p>
    <w:p>
      <w: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Heading1"/>
      </w:pPr>
      <w:r>
        <w:t>II. Theoretical Background</w:t>
      </w:r>
    </w:p>
    <w:p>
      <w:pPr>
        <w:pStyle w:val="Heading2"/>
      </w:pPr>
      <w:r>
        <w:t>A. The FIAS Account and the Endowment Mechanism</w:t>
      </w:r>
    </w:p>
    <w:p>
      <w: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t>B. Two Appraisal Regimes</w:t>
      </w:r>
    </w:p>
    <w:p>
      <w: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t>III. Method: A Participant-Facing Decoupling Package in a Separate Cohort</w:t>
      </w:r>
    </w:p>
    <w:p>
      <w:pPr>
        <w:pStyle w:val="Heading2"/>
      </w:pPr>
      <w:r>
        <w:t>A. Design Logic of the Coordination-Challenge Framing</w:t>
      </w:r>
    </w:p>
    <w:p>
      <w: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t>B. The Decoupling Package</w:t>
      </w:r>
    </w:p>
    <w:p>
      <w:r>
        <w:t>Relative to the coupled deployment of [2], four participant-facing components changed as a package: recruitment language (a coordination challenge, with no medical or fall-prevention vocabulary); removal of the pre-session clinical scan; removal of clinical labels from the station and screens; and removal of participant-facing clinical outputs, with no balance score or risk index shown at any point. The broad pressure-panel apparatus, skiing mechanic, five-attempt rule and session length were retained. Participant-level clinical balance telemetry was deliberately not collected. Because cohort, setting and recruitment channel also differed, the design estimates the combined association of the decoupled condition and its context with behaviour.</w:t>
      </w:r>
    </w:p>
    <w:p>
      <w:pPr>
        <w:pStyle w:val="Heading2"/>
      </w:pPr>
      <w:r>
        <w:t>C. Participants</w:t>
      </w:r>
    </w:p>
    <w:p>
      <w:r>
        <w:t>One hundred and twenty community-dwelling adults aged 25-80 were recruited through Hong Kong community channels: 38 aged 25-44, 41 aged 45-64 and 41 aged 65-80; 48 men and 72 women; all reported high-school education or above. Recruiting three age bands builds the comparison group into the study and licenses a second null hypothesis, H0-age: that under the decoupled condition there is no difference between age groups. Data collection is complete; this paper reports the preliminary aggregate record, with the participant-level records held in the study archive supporting analysis beyond it.</w:t>
      </w:r>
    </w:p>
    <w:p>
      <w:pPr>
        <w:pStyle w:val="Heading2"/>
      </w:pPr>
      <w:r>
        <w:t>D. Outcomes and Analysis</w:t>
      </w:r>
    </w:p>
    <w:p>
      <w:r>
        <w:t>Outcomes are behavioural and stated: initial dropout (exit before completing the five-attempt protocol), voluntary return after initial dropout, observed non-return at the end of the study window, coordination-challenge endorsement (a manipulation check on the intended frame), and stated regular-use intention. Proportions carry Wilson score 95% confidence intervals; band contrasts use Fisher's exact and chi-square tests. No time-to-event modelling is used.</w:t>
      </w:r>
    </w:p>
    <w:p>
      <w:pPr>
        <w:pStyle w:val="Heading1"/>
      </w:pPr>
      <w:r>
        <w:t>IV. Results (Preliminary Aggregate Record)</w:t>
      </w:r>
    </w:p>
    <w:p>
      <w:r>
        <w:t>Overall, 23 of 120 participants (19.2%) dropped out before completing the protocol; 15 of the 23 (65.2%; 95% CI 44.9-81.2%) returned voluntarily; 8 (6.7%) did not return, giving end-of-window retention of 93.3% (Table 1).</w:t>
      </w:r>
    </w:p>
    <w:p>
      <w:r>
        <w:rPr>
          <w:i/>
          <w:sz w:val="18"/>
        </w:rPr>
        <w:t>Table 1. Overall engagement and dropout (N = 120).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n</w:t>
            </w:r>
          </w:p>
        </w:tc>
        <w:tc>
          <w:tcPr>
            <w:tcW w:type="dxa" w:w="2880"/>
          </w:tcPr>
          <w:p>
            <w:r>
              <w:rPr>
                <w:b/>
                <w:sz w:val="18"/>
              </w:rPr>
              <w:t>%</w:t>
            </w:r>
          </w:p>
        </w:tc>
      </w:tr>
      <w:tr>
        <w:tc>
          <w:tcPr>
            <w:tcW w:type="dxa" w:w="2880"/>
          </w:tcPr>
          <w:p>
            <w:r>
              <w:rPr>
                <w:sz w:val="18"/>
              </w:rPr>
              <w:t>Initial dropout before completing the protocol</w:t>
            </w:r>
          </w:p>
        </w:tc>
        <w:tc>
          <w:tcPr>
            <w:tcW w:type="dxa" w:w="2880"/>
          </w:tcPr>
          <w:p>
            <w:r>
              <w:rPr>
                <w:sz w:val="18"/>
              </w:rPr>
              <w:t>23</w:t>
            </w:r>
          </w:p>
        </w:tc>
        <w:tc>
          <w:tcPr>
            <w:tcW w:type="dxa" w:w="2880"/>
          </w:tcPr>
          <w:p>
            <w:r>
              <w:rPr>
                <w:sz w:val="18"/>
              </w:rPr>
              <w:t>19.2</w:t>
            </w:r>
          </w:p>
        </w:tc>
      </w:tr>
      <w:tr>
        <w:tc>
          <w:tcPr>
            <w:tcW w:type="dxa" w:w="2880"/>
          </w:tcPr>
          <w:p>
            <w:r>
              <w:rPr>
                <w:sz w:val="18"/>
              </w:rPr>
              <w:t>Voluntary return after initial dropout</w:t>
            </w:r>
          </w:p>
        </w:tc>
        <w:tc>
          <w:tcPr>
            <w:tcW w:type="dxa" w:w="2880"/>
          </w:tcPr>
          <w:p>
            <w:r>
              <w:rPr>
                <w:sz w:val="18"/>
              </w:rPr>
              <w:t>15</w:t>
            </w:r>
          </w:p>
        </w:tc>
        <w:tc>
          <w:tcPr>
            <w:tcW w:type="dxa" w:w="2880"/>
          </w:tcPr>
          <w:p>
            <w:r>
              <w:rPr>
                <w:sz w:val="18"/>
              </w:rPr>
              <w:t>65.2 of dropouts</w:t>
            </w:r>
          </w:p>
        </w:tc>
      </w:tr>
      <w:tr>
        <w:tc>
          <w:tcPr>
            <w:tcW w:type="dxa" w:w="2880"/>
          </w:tcPr>
          <w:p>
            <w:r>
              <w:rPr>
                <w:sz w:val="18"/>
              </w:rPr>
              <w:t>Observed non-return at end of window</w:t>
            </w:r>
          </w:p>
        </w:tc>
        <w:tc>
          <w:tcPr>
            <w:tcW w:type="dxa" w:w="2880"/>
          </w:tcPr>
          <w:p>
            <w:r>
              <w:rPr>
                <w:sz w:val="18"/>
              </w:rPr>
              <w:t>8</w:t>
            </w:r>
          </w:p>
        </w:tc>
        <w:tc>
          <w:tcPr>
            <w:tcW w:type="dxa" w:w="2880"/>
          </w:tcPr>
          <w:p>
            <w:r>
              <w:rPr>
                <w:sz w:val="18"/>
              </w:rPr>
              <w:t>6.7</w:t>
            </w:r>
          </w:p>
        </w:tc>
      </w:tr>
      <w:tr>
        <w:tc>
          <w:tcPr>
            <w:tcW w:type="dxa" w:w="2880"/>
          </w:tcPr>
          <w:p>
            <w:r>
              <w:rPr>
                <w:sz w:val="18"/>
              </w:rPr>
              <w:t>Retention at end of window</w:t>
            </w:r>
          </w:p>
        </w:tc>
        <w:tc>
          <w:tcPr>
            <w:tcW w:type="dxa" w:w="2880"/>
          </w:tcPr>
          <w:p>
            <w:r>
              <w:rPr>
                <w:sz w:val="18"/>
              </w:rPr>
              <w:t>112</w:t>
            </w:r>
          </w:p>
        </w:tc>
        <w:tc>
          <w:tcPr>
            <w:tcW w:type="dxa" w:w="2880"/>
          </w:tcPr>
          <w:p>
            <w:r>
              <w:rPr>
                <w:sz w:val="18"/>
              </w:rPr>
              <w:t>93.3</w:t>
            </w:r>
          </w:p>
        </w:tc>
      </w:tr>
    </w:tbl>
    <w:p>
      <w: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w:t>
      </w:r>
    </w:p>
    <w:p>
      <w:r>
        <w:rPr>
          <w:i/>
          <w:sz w:val="18"/>
        </w:rPr>
        <w:t>Table 2. Age-stratified engagement.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Age band</w:t>
            </w:r>
          </w:p>
        </w:tc>
        <w:tc>
          <w:tcPr>
            <w:tcW w:type="dxa" w:w="1440"/>
          </w:tcPr>
          <w:p>
            <w:r>
              <w:rPr>
                <w:b/>
                <w:sz w:val="18"/>
              </w:rPr>
              <w:t>n</w:t>
            </w:r>
          </w:p>
        </w:tc>
        <w:tc>
          <w:tcPr>
            <w:tcW w:type="dxa" w:w="1440"/>
          </w:tcPr>
          <w:p>
            <w:r>
              <w:rPr>
                <w:b/>
                <w:sz w:val="18"/>
              </w:rPr>
              <w:t>Initial dropout</w:t>
            </w:r>
          </w:p>
        </w:tc>
        <w:tc>
          <w:tcPr>
            <w:tcW w:type="dxa" w:w="1440"/>
          </w:tcPr>
          <w:p>
            <w:r>
              <w:rPr>
                <w:b/>
                <w:sz w:val="18"/>
              </w:rPr>
              <w:t>Returned</w:t>
            </w:r>
          </w:p>
        </w:tc>
        <w:tc>
          <w:tcPr>
            <w:tcW w:type="dxa" w:w="1440"/>
          </w:tcPr>
          <w:p>
            <w:r>
              <w:rPr>
                <w:b/>
                <w:sz w:val="18"/>
              </w:rPr>
              <w:t>Non-return</w:t>
            </w:r>
          </w:p>
        </w:tc>
        <w:tc>
          <w:tcPr>
            <w:tcW w:type="dxa" w:w="1440"/>
          </w:tcPr>
          <w:p>
            <w:r>
              <w:rPr>
                <w:b/>
                <w:sz w:val="18"/>
              </w:rPr>
              <w:t>Retention</w:t>
            </w:r>
          </w:p>
        </w:tc>
      </w:tr>
      <w:tr>
        <w:tc>
          <w:tcPr>
            <w:tcW w:type="dxa" w:w="1440"/>
          </w:tcPr>
          <w:p>
            <w:r>
              <w:rPr>
                <w:sz w:val="18"/>
              </w:rPr>
              <w:t>25–44</w:t>
            </w:r>
          </w:p>
        </w:tc>
        <w:tc>
          <w:tcPr>
            <w:tcW w:type="dxa" w:w="1440"/>
          </w:tcPr>
          <w:p>
            <w:r>
              <w:rPr>
                <w:sz w:val="18"/>
              </w:rPr>
              <w:t>38</w:t>
            </w:r>
          </w:p>
        </w:tc>
        <w:tc>
          <w:tcPr>
            <w:tcW w:type="dxa" w:w="1440"/>
          </w:tcPr>
          <w:p>
            <w:r>
              <w:rPr>
                <w:sz w:val="18"/>
              </w:rPr>
              <w:t>0 (0.0%)</w:t>
            </w:r>
          </w:p>
        </w:tc>
        <w:tc>
          <w:tcPr>
            <w:tcW w:type="dxa" w:w="1440"/>
          </w:tcPr>
          <w:p>
            <w:r>
              <w:rPr>
                <w:sz w:val="18"/>
              </w:rPr>
              <w:t>0</w:t>
            </w:r>
          </w:p>
        </w:tc>
        <w:tc>
          <w:tcPr>
            <w:tcW w:type="dxa" w:w="1440"/>
          </w:tcPr>
          <w:p>
            <w:r>
              <w:rPr>
                <w:sz w:val="18"/>
              </w:rPr>
              <w:t>0 (0.0%)</w:t>
            </w:r>
          </w:p>
        </w:tc>
        <w:tc>
          <w:tcPr>
            <w:tcW w:type="dxa" w:w="1440"/>
          </w:tcPr>
          <w:p>
            <w:r>
              <w:rPr>
                <w:sz w:val="18"/>
              </w:rPr>
              <w:t>100.0%</w:t>
            </w:r>
          </w:p>
        </w:tc>
      </w:tr>
      <w:tr>
        <w:tc>
          <w:tcPr>
            <w:tcW w:type="dxa" w:w="1440"/>
          </w:tcPr>
          <w:p>
            <w:r>
              <w:rPr>
                <w:sz w:val="18"/>
              </w:rPr>
              <w:t>45–64</w:t>
            </w:r>
          </w:p>
        </w:tc>
        <w:tc>
          <w:tcPr>
            <w:tcW w:type="dxa" w:w="1440"/>
          </w:tcPr>
          <w:p>
            <w:r>
              <w:rPr>
                <w:sz w:val="18"/>
              </w:rPr>
              <w:t>41</w:t>
            </w:r>
          </w:p>
        </w:tc>
        <w:tc>
          <w:tcPr>
            <w:tcW w:type="dxa" w:w="1440"/>
          </w:tcPr>
          <w:p>
            <w:r>
              <w:rPr>
                <w:sz w:val="18"/>
              </w:rPr>
              <w:t>7 (17.1%)</w:t>
            </w:r>
          </w:p>
        </w:tc>
        <w:tc>
          <w:tcPr>
            <w:tcW w:type="dxa" w:w="1440"/>
          </w:tcPr>
          <w:p>
            <w:r>
              <w:rPr>
                <w:sz w:val="18"/>
              </w:rPr>
              <w:t>5</w:t>
            </w:r>
          </w:p>
        </w:tc>
        <w:tc>
          <w:tcPr>
            <w:tcW w:type="dxa" w:w="1440"/>
          </w:tcPr>
          <w:p>
            <w:r>
              <w:rPr>
                <w:sz w:val="18"/>
              </w:rPr>
              <w:t>2 (4.9%)</w:t>
            </w:r>
          </w:p>
        </w:tc>
        <w:tc>
          <w:tcPr>
            <w:tcW w:type="dxa" w:w="1440"/>
          </w:tcPr>
          <w:p>
            <w:r>
              <w:rPr>
                <w:sz w:val="18"/>
              </w:rPr>
              <w:t>95.1%</w:t>
            </w:r>
          </w:p>
        </w:tc>
      </w:tr>
      <w:tr>
        <w:tc>
          <w:tcPr>
            <w:tcW w:type="dxa" w:w="1440"/>
          </w:tcPr>
          <w:p>
            <w:r>
              <w:rPr>
                <w:sz w:val="18"/>
              </w:rPr>
              <w:t>65–80</w:t>
            </w:r>
          </w:p>
        </w:tc>
        <w:tc>
          <w:tcPr>
            <w:tcW w:type="dxa" w:w="1440"/>
          </w:tcPr>
          <w:p>
            <w:r>
              <w:rPr>
                <w:sz w:val="18"/>
              </w:rPr>
              <w:t>41</w:t>
            </w:r>
          </w:p>
        </w:tc>
        <w:tc>
          <w:tcPr>
            <w:tcW w:type="dxa" w:w="1440"/>
          </w:tcPr>
          <w:p>
            <w:r>
              <w:rPr>
                <w:sz w:val="18"/>
              </w:rPr>
              <w:t>16 (39.0%)</w:t>
            </w:r>
          </w:p>
        </w:tc>
        <w:tc>
          <w:tcPr>
            <w:tcW w:type="dxa" w:w="1440"/>
          </w:tcPr>
          <w:p>
            <w:r>
              <w:rPr>
                <w:sz w:val="18"/>
              </w:rPr>
              <w:t>10</w:t>
            </w:r>
          </w:p>
        </w:tc>
        <w:tc>
          <w:tcPr>
            <w:tcW w:type="dxa" w:w="1440"/>
          </w:tcPr>
          <w:p>
            <w:r>
              <w:rPr>
                <w:sz w:val="18"/>
              </w:rPr>
              <w:t>6 (14.6%)</w:t>
            </w:r>
          </w:p>
        </w:tc>
        <w:tc>
          <w:tcPr>
            <w:tcW w:type="dxa" w:w="1440"/>
          </w:tcPr>
          <w:p>
            <w:r>
              <w:rPr>
                <w:sz w:val="18"/>
              </w:rPr>
              <w:t>85.4%</w:t>
            </w:r>
          </w:p>
        </w:tc>
      </w:tr>
      <w:tr>
        <w:tc>
          <w:tcPr>
            <w:tcW w:type="dxa" w:w="1440"/>
          </w:tcPr>
          <w:p>
            <w:r>
              <w:rPr>
                <w:sz w:val="18"/>
              </w:rPr>
              <w:t>Total</w:t>
            </w:r>
          </w:p>
        </w:tc>
        <w:tc>
          <w:tcPr>
            <w:tcW w:type="dxa" w:w="1440"/>
          </w:tcPr>
          <w:p>
            <w:r>
              <w:rPr>
                <w:sz w:val="18"/>
              </w:rPr>
              <w:t>120</w:t>
            </w:r>
          </w:p>
        </w:tc>
        <w:tc>
          <w:tcPr>
            <w:tcW w:type="dxa" w:w="1440"/>
          </w:tcPr>
          <w:p>
            <w:r>
              <w:rPr>
                <w:sz w:val="18"/>
              </w:rPr>
              <w:t>23 (19.2%)</w:t>
            </w:r>
          </w:p>
        </w:tc>
        <w:tc>
          <w:tcPr>
            <w:tcW w:type="dxa" w:w="1440"/>
          </w:tcPr>
          <w:p>
            <w:r>
              <w:rPr>
                <w:sz w:val="18"/>
              </w:rPr>
              <w:t>15</w:t>
            </w:r>
          </w:p>
        </w:tc>
        <w:tc>
          <w:tcPr>
            <w:tcW w:type="dxa" w:w="1440"/>
          </w:tcPr>
          <w:p>
            <w:r>
              <w:rPr>
                <w:sz w:val="18"/>
              </w:rPr>
              <w:t>8 (6.7%)</w:t>
            </w:r>
          </w:p>
        </w:tc>
        <w:tc>
          <w:tcPr>
            <w:tcW w:type="dxa" w:w="1440"/>
          </w:tcPr>
          <w:p>
            <w:r>
              <w:rPr>
                <w:sz w:val="18"/>
              </w:rPr>
              <w:t>93.3%</w:t>
            </w:r>
          </w:p>
        </w:tc>
      </w:tr>
    </w:tbl>
    <w:p>
      <w: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w:t>
      </w:r>
    </w:p>
    <w:p>
      <w:r>
        <w:rPr>
          <w:i/>
          <w:sz w:val="18"/>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25–44</w:t>
            </w:r>
          </w:p>
        </w:tc>
        <w:tc>
          <w:tcPr>
            <w:tcW w:type="dxa" w:w="1728"/>
          </w:tcPr>
          <w:p>
            <w:r>
              <w:rPr>
                <w:b/>
                <w:sz w:val="18"/>
              </w:rPr>
              <w:t>45–64</w:t>
            </w:r>
          </w:p>
        </w:tc>
        <w:tc>
          <w:tcPr>
            <w:tcW w:type="dxa" w:w="1728"/>
          </w:tcPr>
          <w:p>
            <w:r>
              <w:rPr>
                <w:b/>
                <w:sz w:val="18"/>
              </w:rPr>
              <w:t>65–80</w:t>
            </w:r>
          </w:p>
        </w:tc>
        <w:tc>
          <w:tcPr>
            <w:tcW w:type="dxa" w:w="1728"/>
          </w:tcPr>
          <w:p>
            <w:r>
              <w:rPr>
                <w:b/>
                <w:sz w:val="18"/>
              </w:rPr>
              <w:t>Total</w:t>
            </w:r>
          </w:p>
        </w:tc>
      </w:tr>
      <w:tr>
        <w:tc>
          <w:tcPr>
            <w:tcW w:type="dxa" w:w="1728"/>
          </w:tcPr>
          <w:p>
            <w:r>
              <w:rPr>
                <w:sz w:val="18"/>
              </w:rPr>
              <w:t>Coordination-challenge endorsement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71.7%</w:t>
            </w:r>
          </w:p>
        </w:tc>
      </w:tr>
      <w:tr>
        <w:tc>
          <w:tcPr>
            <w:tcW w:type="dxa" w:w="1728"/>
          </w:tcPr>
          <w:p>
            <w:r>
              <w:rPr>
                <w:sz w:val="18"/>
              </w:rPr>
              <w:t>Would use regularly if accessible</w:t>
            </w:r>
          </w:p>
        </w:tc>
        <w:tc>
          <w:tcPr>
            <w:tcW w:type="dxa" w:w="1728"/>
          </w:tcPr>
          <w:p>
            <w:r>
              <w:rPr>
                <w:sz w:val="18"/>
              </w:rPr>
              <w:t>65.8%</w:t>
            </w:r>
          </w:p>
        </w:tc>
        <w:tc>
          <w:tcPr>
            <w:tcW w:type="dxa" w:w="1728"/>
          </w:tcPr>
          <w:p>
            <w:r>
              <w:rPr>
                <w:sz w:val="18"/>
              </w:rPr>
              <w:t>68.3%</w:t>
            </w:r>
          </w:p>
        </w:tc>
        <w:tc>
          <w:tcPr>
            <w:tcW w:type="dxa" w:w="1728"/>
          </w:tcPr>
          <w:p>
            <w:r>
              <w:rPr>
                <w:sz w:val="18"/>
              </w:rPr>
              <w:t>56.1%</w:t>
            </w:r>
          </w:p>
        </w:tc>
        <w:tc>
          <w:tcPr>
            <w:tcW w:type="dxa" w:w="1728"/>
          </w:tcPr>
          <w:p>
            <w:r>
              <w:rPr>
                <w:sz w:val="18"/>
              </w:rPr>
              <w:t>63.3%</w:t>
            </w:r>
          </w:p>
        </w:tc>
      </w:tr>
    </w:tbl>
    <w:p>
      <w:pPr>
        <w:pStyle w:val="Heading1"/>
      </w:pPr>
      <w:r>
        <w:t>V. Discussion</w:t>
      </w:r>
    </w:p>
    <w:p>
      <w:pPr>
        <w:pStyle w:val="Heading2"/>
      </w:pPr>
      <w:r>
        <w:t>A. Frame-Sensitive Versus Dispositional Accounts</w:t>
      </w:r>
    </w:p>
    <w:p>
      <w:r>
        <w:t>The pattern is one-sided between the two rival readings. The decoupled game was accepted by the elderly cohort at levels consistent with what the gamification literature predicts for non-clinical technologies — 85.4% in-session retention in the 65-80 band,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The causal interpretation remains bounded: the cohorts differed in setting, recruitment, residential status, age distribution, health profile and prior exposure, and the decoupling was a package rather than a single variable. The decisive confirmation is a within-cohort randomised comparison, which is specified as future work.</w:t>
      </w:r>
    </w:p>
    <w:p>
      <w:pPr>
        <w:pStyle w:val="Heading2"/>
      </w:pPr>
      <w:r>
        <w:t>B. The Age Gradient Read Through the WTA/WTP Account</w:t>
      </w:r>
    </w:p>
    <w:p>
      <w: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t>C. The Commitment Gap and the Adaptive-Learning Direction</w:t>
      </w:r>
    </w:p>
    <w:p>
      <w:r>
        <w:t>Decoupling did not answer every engagement question. Half of the older participants who happily completed the session saw no place for the game in their weekly lives: the 29.3-point gap between retention and stated intention marks the boundary of what removing the threat can achieve. Decoupling removes a reason to leave; it does not add a reason to return.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1"/>
      </w:pPr>
      <w:r>
        <w:t>VI. Limitations</w:t>
      </w:r>
    </w:p>
    <w:p>
      <w:r>
        <w:t>The comparison with [2] is between-cycle and between-cohort, without randomisation; the decoupling is a multi-component package; the proposed mechanisms (endowment, mental accounting, stereotype threat) were not directly measured; regular-use intention is stated, not longitudinal behaviour; this paper reports the preliminary aggregate record, with participant-level analysis continuing beyond it; participants were volunteers in Chinese-cultural settings, and generalisation beyond these contexts is untested; and no clinical telemetry was collected, so no claim about clinical outcomes under decoupling is made.</w:t>
      </w:r>
    </w:p>
    <w:p>
      <w:pPr>
        <w:pStyle w:val="Heading1"/>
      </w:pPr>
      <w:r>
        <w:t>VII. Future Work: The Within-Cohort Confirmatory Study</w:t>
      </w:r>
    </w:p>
    <w:p>
      <w: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Hypotheses and endpoints will be pre-registered before data collection begins.</w:t>
      </w:r>
    </w:p>
    <w:p>
      <w:pPr>
        <w:pStyle w:val="Heading1"/>
      </w:pPr>
      <w:r>
        <w:t>VIII. Conclusion</w:t>
      </w:r>
    </w:p>
    <w:p>
      <w:r>
        <w:t>Offered the same game without the clinical attachment, a separate cohort of 120 adults — including 41 aged 65-80 —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t>Acknowledgments</w:t>
      </w:r>
    </w:p>
    <w:p>
      <w:r>
        <w:t>The authors thank the Hong Kong community partners and participants, and the staff who supported the deployment.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t>References</w:t>
      </w:r>
    </w:p>
    <w:p>
      <w:r>
        <w:t>[1] S. K. T. Tam and C. F. Cheung, “A study of utilisation of Fall Risk Assessment among elderly users: A critical review through TAM and Octalysis frameworks with gamification approach,” accepted for publication (SS-293).</w:t>
      </w:r>
    </w:p>
    <w:p>
      <w:r>
        <w:t>[2] S. K. T. Tam and C. F. Cheung, “Gamification as proactive approach: A study of elderly failure-induced abandonment in Fall Risk Assessment,” manuscript under submission (Paper 2 of this programme).</w:t>
      </w:r>
    </w:p>
    <w:p>
      <w:r>
        <w:t>[3] R. Thaler, “Toward a positive theory of consumer choice,” J. Econ. Behav. Organ., vol. 1, no. 1, pp. 39-60, 1980.</w:t>
      </w:r>
    </w:p>
    <w:p>
      <w:r>
        <w:t>[4] D. Kahneman, J. L. Knetsch, and R. H. Thaler, “Experimental tests of the endowment effect and the Coase theorem,” J. Political Econ., vol. 98, no. 6, pp. 1325-1348, 1990.</w:t>
      </w:r>
    </w:p>
    <w:p>
      <w:r>
        <w:t>[5] S. An, C. F. Cheung, and K. W. Willoughby, “A gamification approach for enhancing older adults' technology adoption and knowledge transfer,” Technol. Forecast. Soc. Change, vol. 205, 2024.</w:t>
      </w:r>
    </w:p>
    <w:p>
      <w:r>
        <w:t>[6] K. Chen and A. H. S. Chan, “Gerontechnology acceptance by elderly Hong Kong Chinese: STAM,” Ergonomics, vol. 57, no. 5, pp. 635-652, 2014.</w:t>
      </w:r>
    </w:p>
    <w:p>
      <w:r>
        <w:t>[7] Y.-K. Chou, Actionable Gamification: Beyond Points, Badges, and Leaderboards. Fremont, CA: Octalysis Media, 2015.</w:t>
      </w:r>
    </w:p>
    <w:p>
      <w:r>
        <w:t>[8] G. Eysenbach, “The law of attrition,” J. Med. Internet Res., vol. 7, no. 1, e11, 2005.</w:t>
      </w:r>
    </w:p>
    <w:p>
      <w:r>
        <w:t>[9] S. J. Barber, “An examination of age-based stereotype threat about cognitive decline,” Perspect. Psychol. Sci., vol. 12, no. 1, pp. 62-90, 2017.</w:t>
      </w:r>
    </w:p>
    <w:p>
      <w:r>
        <w:t>[10] M. S. McGlone and J. Aronson, “Stereotype threat, identity salience, and spatial reasoning,” J. Appl. Dev. Psychol., vol. 27, no. 5, pp. 486-493, 2006.</w:t>
      </w:r>
    </w:p>
    <w:p>
      <w:r>
        <w:t>[11] D. Kahneman and A. Tversky, “Prospect theory: An analysis of decision under risk,” Econometrica, vol. 47, no. 2, pp. 263-291, 1979.</w:t>
      </w:r>
    </w:p>
    <w:p>
      <w:r>
        <w:t>[12] A. Bandura, Self-Efficacy: The Exercise of Control. New York: W. H. Freeman, 1997.</w:t>
      </w:r>
    </w:p>
    <w:p>
      <w: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R1 (19 Jul 2026): full rewrite of the Key Contexts scaffold as the manuscript of the conducted between-cohort decoupled deployment (N=120, register 38/41/41). Three-arm study is future work. All figures follow thesis V20.</dc:description>
  <cp:lastModifiedBy/>
  <cp:revision>1</cp:revision>
  <dcterms:created xsi:type="dcterms:W3CDTF">2013-12-23T23:15:00Z</dcterms:created>
  <dcterms:modified xsi:type="dcterms:W3CDTF">2013-12-23T23:15:00Z</dcterms:modified>
  <cp:category/>
</cp:coreProperties>
</file>