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Paper 3 R7 Revision and Author Verification Record</w:t>
      </w:r>
    </w:p>
    <w:p>
      <w:pPr>
        <w:widowControl/>
      </w:pPr>
      <w:r>
        <w:t>29 September 2026  |  Prepared for Sidney K. T. Tam and Chi Fai Cheung</w:t>
      </w:r>
    </w:p>
    <w:p>
      <w:pPr>
        <w:widowControl/>
      </w:pPr>
      <w:r>
        <w:t>R7 incorporates your recruitment, prior-play and control-method clarifications, the Stage 3B Pro exports, and your confirmation that four code holders were distinct volunteers who recruited others. The FIAS and learning rationale is retained. Submission remains conditional on source-data reconciliation and institutional clarification; a new Stage 3B trial is not required to complete this editorial revision.</w:t>
      </w:r>
    </w:p>
    <w:p>
      <w:pPr>
        <w:pStyle w:val="Heading1"/>
        <w:widowControl/>
      </w:pPr>
      <w:r>
        <w:t>Substantive changes</w:t>
      </w:r>
    </w:p>
    <w:p>
      <w:pPr>
        <w:widowControl/>
      </w:pPr>
      <w:r>
        <w:rPr>
          <w:b/>
        </w:rPr>
        <w:t xml:space="preserve">FIAS and decoupling. </w:t>
      </w:r>
      <w:r>
        <w:t>The Introduction, objectives, Discussion and conclusion now treat self-appraisal of capability as the proposed mechanism. Clinical decoupling is presented as a way to investigate it. The manuscript does not claim that FIAS is verified or that usability, design and technology acceptance have been excluded.</w:t>
      </w:r>
    </w:p>
    <w:p>
      <w:pPr>
        <w:widowControl/>
      </w:pPr>
      <w:r>
        <w:rPr>
          <w:b/>
        </w:rPr>
        <w:t xml:space="preserve">Recruitment. </w:t>
      </w:r>
      <w:r>
        <w:t>Twenty distributors were invited and each was asked to find 10 players across age groups. The nominal target was 200; actual invitations are unknown. The analysis retains 120 returned gameplay records. No 60% response rate is reported, and no active-distributor count has been invented.</w:t>
      </w:r>
    </w:p>
    <w:p>
      <w:pPr>
        <w:widowControl/>
      </w:pPr>
      <w:r>
        <w:rPr>
          <w:b/>
        </w:rPr>
        <w:t xml:space="preserve">Experience and delivery. </w:t>
      </w:r>
      <w:r>
        <w:t>Stage 3A participants had not previously played this study game. Some Stage 3B participants had prior experience; its instructions asked about previous play. Remote email delivery and prepared iPads are described. Stage 3A foot-pad and/or keypad input is distinguished from Stage 3B touchscreen input; using an iPad is not treated as proof of touch control.</w:t>
      </w:r>
    </w:p>
    <w:p>
      <w:pPr>
        <w:widowControl/>
      </w:pPr>
      <w:r>
        <w:rPr>
          <w:b/>
        </w:rPr>
        <w:t xml:space="preserve">Learning and Stage 3B. </w:t>
      </w:r>
      <w:r>
        <w:t>Game achievement, clinical FRA measurement and learning from experience have separate definitions. Stage 3B retains the skiing aesthetic while exploring different mechanisms with Claude-assisted development. Eight Pro exports support traceable rule-based adaptation and mixed immediate performance changes. They do not establish durable learning or runtime language-model benefit. Separate Methods and Results paragraphs report this developmental evidence.</w:t>
      </w:r>
    </w:p>
    <w:p>
      <w:pPr>
        <w:widowControl/>
      </w:pPr>
      <w:r>
        <w:rPr>
          <w:b/>
        </w:rPr>
        <w:t xml:space="preserve">Reporting and presentation. </w:t>
      </w:r>
      <w:r>
        <w:t>A STROBE appendix now addresses all 22 items and applicable subitems, with page locations and explicit gaps. The manuscript has three tables and three figures; repeated graphical summaries and the separate confidence-interval table were consolidated. Original numerical counts were retained. Wilson intervals and age comparisons were checked, references were renumbered, and five Word comments identify unresolved points.</w:t>
      </w:r>
    </w:p>
    <w:p>
      <w:pPr>
        <w:pStyle w:val="Heading1"/>
        <w:widowControl/>
      </w:pPr>
      <w:r>
        <w:t>Figure and table correspondence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904"/>
      </w:tblGrid>
      <w:tr>
        <w:trPr>
          <w:cantSplit/>
          <w:tblHeader/>
        </w:trPr>
        <w:tc>
          <w:tcPr>
            <w:tcW w:type="dxa" w:w="3888"/>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Earlier R7</w:t>
            </w:r>
          </w:p>
        </w:tc>
        <w:tc>
          <w:tcPr>
            <w:tcW w:type="dxa" w:w="5904"/>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Revised R7</w:t>
            </w:r>
          </w:p>
        </w:tc>
      </w:tr>
      <w:tr>
        <w:trPr>
          <w:cantSplit/>
        </w:trPr>
        <w:tc>
          <w:tcPr>
            <w:tcW w:type="dxa" w:w="38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Figure 1 game build</w:t>
            </w:r>
          </w:p>
        </w:tc>
        <w:tc>
          <w:tcPr>
            <w:tcW w:type="dxa" w:w="5904"/>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Figure 1 retained</w:t>
            </w:r>
          </w:p>
        </w:tc>
      </w:tr>
      <w:tr>
        <w:trPr>
          <w:cantSplit/>
        </w:trPr>
        <w:tc>
          <w:tcPr>
            <w:tcW w:type="dxa" w:w="38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Figure 2 compiled classifications</w:t>
            </w:r>
          </w:p>
        </w:tc>
        <w:tc>
          <w:tcPr>
            <w:tcW w:type="dxa" w:w="5904"/>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Removed; counts remain in Table 1</w:t>
            </w:r>
          </w:p>
        </w:tc>
      </w:tr>
      <w:tr>
        <w:trPr>
          <w:cantSplit/>
        </w:trPr>
        <w:tc>
          <w:tcPr>
            <w:tcW w:type="dxa" w:w="38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Figure 3 classifications by age</w:t>
            </w:r>
          </w:p>
        </w:tc>
        <w:tc>
          <w:tcPr>
            <w:tcW w:type="dxa" w:w="5904"/>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Renumbered Figure 2</w:t>
            </w:r>
          </w:p>
        </w:tc>
      </w:tr>
      <w:tr>
        <w:trPr>
          <w:cantSplit/>
        </w:trPr>
        <w:tc>
          <w:tcPr>
            <w:tcW w:type="dxa" w:w="38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Figure 4 returned among initial dropouts</w:t>
            </w:r>
          </w:p>
        </w:tc>
        <w:tc>
          <w:tcPr>
            <w:tcW w:type="dxa" w:w="5904"/>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Renumbered Figure 3</w:t>
            </w:r>
          </w:p>
        </w:tc>
      </w:tr>
      <w:tr>
        <w:trPr>
          <w:cantSplit/>
        </w:trPr>
        <w:tc>
          <w:tcPr>
            <w:tcW w:type="dxa" w:w="38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Figure 5 regular-use item</w:t>
            </w:r>
          </w:p>
        </w:tc>
        <w:tc>
          <w:tcPr>
            <w:tcW w:type="dxa" w:w="5904"/>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Removed; counts remain in Table 3</w:t>
            </w:r>
          </w:p>
        </w:tc>
      </w:tr>
      <w:tr>
        <w:trPr>
          <w:cantSplit/>
        </w:trPr>
        <w:tc>
          <w:tcPr>
            <w:tcW w:type="dxa" w:w="38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Table 4 confidence intervals</w:t>
            </w:r>
          </w:p>
        </w:tc>
        <w:tc>
          <w:tcPr>
            <w:tcW w:type="dxa" w:w="5904"/>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Integrated into Table 1, Table 2 note and questionnaire Results</w:t>
            </w:r>
          </w:p>
        </w:tc>
      </w:tr>
    </w:tbl>
    <w:p>
      <w:pPr>
        <w:pStyle w:val="Heading1"/>
        <w:pageBreakBefore/>
        <w:widowControl/>
      </w:pPr>
      <w:r>
        <w:t>Evidence needed before submission</w:t>
      </w:r>
    </w:p>
    <w:p>
      <w:pPr>
        <w:widowControl/>
      </w:pPr>
      <w:r>
        <w:rPr>
          <w:b/>
        </w:rPr>
        <w:t xml:space="preserve">1  Reconstruct the Stage 3A analysis record. </w:t>
      </w:r>
      <w:r>
        <w:t>Link returned files to participant identifiers, check duplicates and document any exclusions. Reproduce all reported age, gender, education, classification and questionnaire counts from those source records. Retain the present 120-record denominator only if the reconstruction supports it. Do not infer zero missing data from complete-looking totals.</w:t>
      </w:r>
    </w:p>
    <w:p>
      <w:pPr>
        <w:widowControl/>
      </w:pPr>
      <w:r>
        <w:rPr>
          <w:b/>
        </w:rPr>
        <w:t xml:space="preserve">2  Recover the engagement rules and timing. </w:t>
      </w:r>
      <w:r>
        <w:t>Document the applied meaning of initial dropout, returned and non-return, what counted as an attempt or session, the observation window and any prompting. Recover timestamps where possible. If this cannot be done, the report must retain its limited interpretation as compiled labels; it cannot claim verified abandonment, later voluntary return or sustained retention.</w:t>
      </w:r>
    </w:p>
    <w:p>
      <w:pPr>
        <w:widowControl/>
      </w:pPr>
      <w:r>
        <w:rPr>
          <w:b/>
        </w:rPr>
        <w:t xml:space="preserve">3  Resolve the questionnaire and participant communication. </w:t>
      </w:r>
      <w:r>
        <w:t>Supply the original administered items, language, response options and positive-coding rule, together with the original invitations and instructions where available. If questionnaire wording and scoring cannot be recovered, remove the questionnaire findings rather than present them as validated outcomes. Keep unknown device and assistance counts explicit.</w:t>
      </w:r>
    </w:p>
    <w:p>
      <w:pPr>
        <w:widowControl/>
      </w:pPr>
      <w:r>
        <w:rPr>
          <w:b/>
        </w:rPr>
        <w:t xml:space="preserve">4  Obtain the institutional ethics determination. </w:t>
      </w:r>
      <w:r>
        <w:t>The manuscript retains March–April 2026 collection and the formal decision dated 6 August 2026 under HSEARS20260805008. Obtain written institutional clarification of authorisation for the earlier procedures and the scope of the decision. Supervisor permission and an approval-period start date do not establish contemporaneous formal approval. Retain the actual consent communications. For Pro volunteer use, reconcile the self-test and participant-approval metadata with applicable consent and institutional records.</w:t>
      </w:r>
    </w:p>
    <w:p>
      <w:pPr>
        <w:widowControl/>
      </w:pPr>
      <w:r>
        <w:rPr>
          <w:b/>
        </w:rPr>
        <w:t xml:space="preserve">5  Confirm attribution and author approval. </w:t>
      </w:r>
      <w:r>
        <w:t>The four Pro code holders are confirmed as distinct volunteers; attribution of every run to a player and enumeration of their additional invitees remain unresolved. Preserve build and prior-play links. Update the publication status of references 1 and 2 from documentary records; earlier R7 listed Stage 2 submission JIKM-S-26-02466. Both authors should approve this revision, declarations and AI disclosure. Resolve Word comments and refresh STROBE page references after final edits.</w:t>
      </w:r>
    </w:p>
    <w:p>
      <w:pPr>
        <w:pStyle w:val="Heading1"/>
        <w:widowControl/>
      </w:pPr>
      <w:r>
        <w:t>Stage 3B record boundary</w:t>
      </w:r>
    </w:p>
    <w:p>
      <w:pPr>
        <w:widowControl/>
      </w:pPr>
      <w:r>
        <w:t>The preceding R7 described an 8–9 August 2026 component protocol and, at its 26 September cut-off, one verified return, five researcher-solicited returns received on 15 September on a superseded build and excluded on verification, and no clean-run return. These are provenance statements from R7, not newly verified counts. The September Pro exports are described separately; they are not merged with that original component phase or the March–April Stage 3A results.</w:t>
      </w:r>
    </w:p>
    <w:p>
      <w:pPr>
        <w:pStyle w:val="Heading1"/>
        <w:widowControl/>
      </w:pPr>
      <w:r>
        <w:t>Basis of the revision</w:t>
      </w:r>
    </w:p>
    <w:p>
      <w:pPr>
        <w:widowControl/>
      </w:pPr>
      <w:r>
        <w:t>The supplied R7 dated 27 September 2026 and five figures provided the original text and aggregate numbers. Your messages supplied recruitment, prior-play, delivery, control and design-aim clarifications. This update also uses eight Pro exports and your 29 September confirmation of four distinct volunteers. Raw observations were preserved. The STROBE statement and Soderstrom and Bjork’s learning-versus-performance review are references 12 and 13.</w:t>
      </w:r>
    </w:p>
    <w:p>
      <w:pPr>
        <w:pStyle w:val="Heading1"/>
        <w:pageBreakBefore/>
        <w:widowControl/>
      </w:pPr>
      <w:r>
        <w:t>Stage 3B Pro record clarification</w:t>
      </w:r>
    </w:p>
    <w:p>
      <w:pPr>
        <w:widowControl/>
      </w:pPr>
      <w:r>
        <w:t>The four codes belonged to four distinct volunteers who also invited other players. This author confirmation establishes distinct code holders. The exports do not establish how many additional players were invited or played, or whether an invitee used an existing volunteer code. Run and visit totals therefore cannot be converted into a verified total participant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080"/>
        <w:gridCol w:w="1944"/>
        <w:gridCol w:w="3312"/>
      </w:tblGrid>
      <w:tr>
        <w:trPr>
          <w:cantSplit/>
          <w:tblHeader/>
        </w:trPr>
        <w:tc>
          <w:tcPr>
            <w:tcW w:type="dxa" w:w="2376"/>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Volunteer code</w:t>
            </w:r>
          </w:p>
        </w:tc>
        <w:tc>
          <w:tcPr>
            <w:tcW w:type="dxa" w:w="108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Visits</w:t>
            </w:r>
          </w:p>
        </w:tc>
        <w:tc>
          <w:tcPr>
            <w:tcW w:type="dxa" w:w="108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Runs</w:t>
            </w:r>
          </w:p>
        </w:tc>
        <w:tc>
          <w:tcPr>
            <w:tcW w:type="dxa" w:w="1944"/>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Practice runs</w:t>
            </w:r>
          </w:p>
        </w:tc>
        <w:tc>
          <w:tcPr>
            <w:tcW w:type="dxa" w:w="3312"/>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Complete check pairs</w:t>
            </w:r>
          </w:p>
        </w:tc>
      </w:tr>
      <w:tr>
        <w:trPr>
          <w:cantSplit/>
        </w:trPr>
        <w:tc>
          <w:tcPr>
            <w:tcW w:type="dxa" w:w="2376"/>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P8P2Z9</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w:t>
            </w:r>
          </w:p>
        </w:tc>
        <w:tc>
          <w:tcPr>
            <w:tcW w:type="dxa" w:w="1944"/>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9</w:t>
            </w:r>
          </w:p>
        </w:tc>
        <w:tc>
          <w:tcPr>
            <w:tcW w:type="dxa" w:w="3312"/>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w:t>
            </w:r>
          </w:p>
        </w:tc>
      </w:tr>
      <w:tr>
        <w:trPr>
          <w:cantSplit/>
        </w:trPr>
        <w:tc>
          <w:tcPr>
            <w:tcW w:type="dxa" w:w="2376"/>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PFWU9V</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6</w:t>
            </w:r>
          </w:p>
        </w:tc>
        <w:tc>
          <w:tcPr>
            <w:tcW w:type="dxa" w:w="1944"/>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c>
          <w:tcPr>
            <w:tcW w:type="dxa" w:w="3312"/>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w:t>
            </w:r>
          </w:p>
        </w:tc>
      </w:tr>
      <w:tr>
        <w:trPr>
          <w:cantSplit/>
        </w:trPr>
        <w:tc>
          <w:tcPr>
            <w:tcW w:type="dxa" w:w="2376"/>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PU5K58</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5</w:t>
            </w:r>
          </w:p>
        </w:tc>
        <w:tc>
          <w:tcPr>
            <w:tcW w:type="dxa" w:w="1944"/>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w:t>
            </w:r>
          </w:p>
        </w:tc>
        <w:tc>
          <w:tcPr>
            <w:tcW w:type="dxa" w:w="3312"/>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0</w:t>
            </w:r>
          </w:p>
        </w:tc>
      </w:tr>
      <w:tr>
        <w:trPr>
          <w:cantSplit/>
        </w:trPr>
        <w:tc>
          <w:tcPr>
            <w:tcW w:type="dxa" w:w="2376"/>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PXG3R9</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5</w:t>
            </w:r>
          </w:p>
        </w:tc>
        <w:tc>
          <w:tcPr>
            <w:tcW w:type="dxa" w:w="1944"/>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w:t>
            </w:r>
          </w:p>
        </w:tc>
        <w:tc>
          <w:tcPr>
            <w:tcW w:type="dxa" w:w="3312"/>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0</w:t>
            </w:r>
          </w:p>
        </w:tc>
      </w:tr>
      <w:tr>
        <w:trPr>
          <w:cantSplit/>
        </w:trPr>
        <w:tc>
          <w:tcPr>
            <w:tcW w:type="dxa" w:w="2376"/>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Total</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11</w:t>
            </w:r>
          </w:p>
        </w:tc>
        <w:tc>
          <w:tcPr>
            <w:tcW w:type="dxa" w:w="108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w:t>
            </w:r>
          </w:p>
        </w:tc>
        <w:tc>
          <w:tcPr>
            <w:tcW w:type="dxa" w:w="1944"/>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w:t>
            </w:r>
          </w:p>
        </w:tc>
        <w:tc>
          <w:tcPr>
            <w:tcW w:type="dxa" w:w="3312"/>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r>
    </w:tbl>
    <w:p>
      <w:pPr>
        <w:widowControl/>
      </w:pPr>
      <w:r>
        <w:t>Eight exports dated 19–20 September 2026 UTC comprise three cumulative JSON snapshots for P8P2Z9 (visits 2–4), one CSV for PFWU9V (visit 1), three JSON snapshots for PU5K58 (visits 1–3), and one CSV for PXG3R9 (visit 3). Reconciliation by code and run identifier reduced 62 primary run appearances to 34 distinct runs, with no conflicting repeated records. Four CSV practice-detail rows repeated existing runs and were not counted again.</w:t>
      </w:r>
    </w:p>
    <w:p>
      <w:pPr>
        <w:widowControl/>
      </w:pPr>
      <w:r>
        <w:t>The 34 runs comprise 14 practice runs, six warm-ups and 14 checks. All recorded touch input; 25 runs used build 4.1 and nine used 4.1.1. Prior-play responses attached to three codes were yes and to PXG3R9 were no. Five software visits contained no practice. Three of six practice-containing visits had a closing check; software visits are not necessarily separate days or independent people.</w:t>
      </w:r>
    </w:p>
    <w:p>
      <w:pPr>
        <w:widowControl/>
      </w:pPr>
      <w:r>
        <w:t>Eight decisions were linked to preceding performance and feedback and to matching next-run settings. All used local rules, with no cloud-model request or recorded override. Fourteen feedback records comprised eight answered and six explicitly skipped responses. Decision creation and choice preceded the next run, while application timestamps were logged 2–4 milliseconds after the run-start timestamp. This logging order was preserved.</w:t>
      </w:r>
    </w:p>
    <w:p>
      <w:pPr>
        <w:widowControl/>
      </w:pPr>
      <w:r>
        <w:t>Complete check pairs were P8P2Z9 visit 1 (100% to 90% obstacle clearance), P8P2Z9 visit 4 (80% to 90%), and PFWU9V visit 1 (80% to 90%). Each check used 20 obstacles, nominal 30-second duration, pace 0.85 and no support. Course versions differed, and their equivalence was not established. Immediate changes are mixed; no comparative or durable-learning effect is inferred.</w:t>
      </w:r>
    </w:p>
    <w:p>
      <w:pPr>
        <w:widowControl/>
      </w:pPr>
      <w:r>
        <w:t>Every export retained the software data-kind label “researcher-self-test”; participant-release or approval fields were false and ethics references absent or not asserted. Your volunteer clarification is recorded separately, without changing these source fields. The label does not establish who played or the applicable ethics status. Two earlier PDF reports describe a different raw-file set with 42 runs, 12 visits and five codes; those totals have not been substituted for or pooled with this eight-export review.</w:t>
      </w:r>
    </w:p>
    <w:sectPr w:rsidR="00125155" w:rsidSect="00034616">
      <w:headerReference w:type="default" r:id="rId13"/>
      <w:footerReference w:type="default" r:id="rId14"/>
      <w:pgSz w:w="12240" w:h="15840"/>
      <w:pgMar w:top="1080"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Paper 3 revision record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R7 Revision and Author Verification Record</dc:title>
  <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2026-09-27T11:30:00Z</dcterms:modified>
  <cp:category/>
</cp:coreProperties>
</file>