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Multimedia Appendix 1. STROBE checklist (cross-sectional studies) for the manuscript "Engagement With a Coordination Game Derived From Fall Risk Assessment: Exploratory Observational Study"</w:t>
      </w:r>
    </w:p>
    <w:p>
      <w:r>
        <w:t>Completed 27 September 2026 for the JMIR submission. Locations refer to manuscript section headings. Where an item cannot be reported from the compiled record, the entry says so; the manuscript states the same limits.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Reported in / status</w:t>
            </w:r>
          </w:p>
        </w:tc>
      </w:tr>
      <w:tr>
        <w:tc>
          <w:tcPr>
            <w:tcW w:type="dxa" w:w="2880"/>
          </w:tcPr>
          <w:p>
            <w:r>
              <w:t>1a</w:t>
            </w:r>
          </w:p>
        </w:tc>
        <w:tc>
          <w:tcPr>
            <w:tcW w:type="dxa" w:w="2880"/>
          </w:tcPr>
          <w:p>
            <w:r>
              <w:t>Title and abstract: indicate the study design in the title or abstract</w:t>
            </w:r>
          </w:p>
        </w:tc>
        <w:tc>
          <w:tcPr>
            <w:tcW w:type="dxa" w:w="2880"/>
          </w:tcPr>
          <w:p>
            <w:r>
              <w:t>Title ("Exploratory Observational Study"); Abstract, Methods</w:t>
            </w:r>
          </w:p>
        </w:tc>
      </w:tr>
      <w:tr>
        <w:tc>
          <w:tcPr>
            <w:tcW w:type="dxa" w:w="2880"/>
          </w:tcPr>
          <w:p>
            <w:r>
              <w:t>1b</w:t>
            </w:r>
          </w:p>
        </w:tc>
        <w:tc>
          <w:tcPr>
            <w:tcW w:type="dxa" w:w="2880"/>
          </w:tcPr>
          <w:p>
            <w:r>
              <w:t>Informative and balanced abstract</w:t>
            </w:r>
          </w:p>
        </w:tc>
        <w:tc>
          <w:tcPr>
            <w:tcW w:type="dxa" w:w="2880"/>
          </w:tcPr>
          <w:p>
            <w:r>
              <w:t>Abstract (structured; compiled classifications only)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Background/rationale</w:t>
            </w:r>
          </w:p>
        </w:tc>
        <w:tc>
          <w:tcPr>
            <w:tcW w:type="dxa" w:w="2880"/>
          </w:tcPr>
          <w:p>
            <w:r>
              <w:t>Introduction: Background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Objectives, including any prespecified hypotheses</w:t>
            </w:r>
          </w:p>
        </w:tc>
        <w:tc>
          <w:tcPr>
            <w:tcW w:type="dxa" w:w="2880"/>
          </w:tcPr>
          <w:p>
            <w:r>
              <w:t>Introduction: Study Objective (descriptive; H0-age examined after tabulation, stated as exploratory)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Study design</w:t>
            </w:r>
          </w:p>
        </w:tc>
        <w:tc>
          <w:tcPr>
            <w:tcW w:type="dxa" w:w="2880"/>
          </w:tcPr>
          <w:p>
            <w:r>
              <w:t>Methods: Study Design and Setting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Setting, locations, dates, recruitment, data collection</w:t>
            </w:r>
          </w:p>
        </w:tc>
        <w:tc>
          <w:tcPr>
            <w:tcW w:type="dxa" w:w="2880"/>
          </w:tcPr>
          <w:p>
            <w:r>
              <w:t>Methods: Study Design and Setting; Participants and Recruitment (March-April 2026; Hong Kong networks with onward forwarding)</w:t>
            </w:r>
          </w:p>
        </w:tc>
      </w:tr>
      <w:tr>
        <w:tc>
          <w:tcPr>
            <w:tcW w:type="dxa" w:w="2880"/>
          </w:tcPr>
          <w:p>
            <w:r>
              <w:t>6a</w:t>
            </w:r>
          </w:p>
        </w:tc>
        <w:tc>
          <w:tcPr>
            <w:tcW w:type="dxa" w:w="2880"/>
          </w:tcPr>
          <w:p>
            <w:r>
              <w:t>Eligibility criteria, sources and methods of selection</w:t>
            </w:r>
          </w:p>
        </w:tc>
        <w:tc>
          <w:tcPr>
            <w:tcW w:type="dxa" w:w="2880"/>
          </w:tcPr>
          <w:p>
            <w:r>
              <w:t>Methods: Participants and Recruitment (adults; distributor briefs 18-45 and 45+; self-selected file-returning sample; no invitation denominator)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Variables: outcomes, exposures, predictors, confounders</w:t>
            </w:r>
          </w:p>
        </w:tc>
        <w:tc>
          <w:tcPr>
            <w:tcW w:type="dxa" w:w="2880"/>
          </w:tcPr>
          <w:p>
            <w:r>
              <w:t>Methods: Outcomes and Source Records; Game Build (age band as the only stratifier; classifications defined as compiled labels)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Data sources/measurement</w:t>
            </w:r>
          </w:p>
        </w:tc>
        <w:tc>
          <w:tcPr>
            <w:tcW w:type="dxa" w:w="2880"/>
          </w:tcPr>
          <w:p>
            <w:r>
              <w:t>Methods: Outcomes and Source Records (Preliminary_Summary sheet of the Stage-3 logbook; returned files; two questionnaire items with administered wording unconfirmed)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Bias</w:t>
            </w:r>
          </w:p>
        </w:tc>
        <w:tc>
          <w:tcPr>
            <w:tcW w:type="dxa" w:w="2880"/>
          </w:tcPr>
          <w:p>
            <w:r>
              <w:t>Methods: Participants and Recruitment; Discussion: Limitations (volunteer selection; researcher influence; facilitation not recorded)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Study size</w:t>
            </w:r>
          </w:p>
        </w:tc>
        <w:tc>
          <w:tcPr>
            <w:tcW w:type="dxa" w:w="2880"/>
          </w:tcPr>
          <w:p>
            <w:r>
              <w:t>Methods: Participants and Recruitment (120 returned records; no sample-size calculation; not estimated a priori)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Quantitative variables</w:t>
            </w:r>
          </w:p>
        </w:tc>
        <w:tc>
          <w:tcPr>
            <w:tcW w:type="dxa" w:w="2880"/>
          </w:tcPr>
          <w:p>
            <w:r>
              <w:t>Methods: Statistical Analysis (age bands as compiled; counts with denominators)</w:t>
            </w:r>
          </w:p>
        </w:tc>
      </w:tr>
      <w:tr>
        <w:tc>
          <w:tcPr>
            <w:tcW w:type="dxa" w:w="2880"/>
          </w:tcPr>
          <w:p>
            <w:r>
              <w:t>12a</w:t>
            </w:r>
          </w:p>
        </w:tc>
        <w:tc>
          <w:tcPr>
            <w:tcW w:type="dxa" w:w="2880"/>
          </w:tcPr>
          <w:p>
            <w:r>
              <w:t>Statistical methods</w:t>
            </w:r>
          </w:p>
        </w:tc>
        <w:tc>
          <w:tcPr>
            <w:tcW w:type="dxa" w:w="2880"/>
          </w:tcPr>
          <w:p>
            <w:r>
              <w:t>Methods: Statistical Analysis (Wilson 95% CIs; exploratory chi-square and Fisher tests)</w:t>
            </w:r>
          </w:p>
        </w:tc>
      </w:tr>
      <w:tr>
        <w:tc>
          <w:tcPr>
            <w:tcW w:type="dxa" w:w="2880"/>
          </w:tcPr>
          <w:p>
            <w:r>
              <w:t>12b</w:t>
            </w:r>
          </w:p>
        </w:tc>
        <w:tc>
          <w:tcPr>
            <w:tcW w:type="dxa" w:w="2880"/>
          </w:tcPr>
          <w:p>
            <w:r>
              <w:t>Subgroups and interactions</w:t>
            </w:r>
          </w:p>
        </w:tc>
        <w:tc>
          <w:tcPr>
            <w:tcW w:type="dxa" w:w="2880"/>
          </w:tcPr>
          <w:p>
            <w:r>
              <w:t>Methods: Statistical Analysis (age-band comparison only, exploratory)</w:t>
            </w:r>
          </w:p>
        </w:tc>
      </w:tr>
      <w:tr>
        <w:tc>
          <w:tcPr>
            <w:tcW w:type="dxa" w:w="2880"/>
          </w:tcPr>
          <w:p>
            <w:r>
              <w:t>12c</w:t>
            </w:r>
          </w:p>
        </w:tc>
        <w:tc>
          <w:tcPr>
            <w:tcW w:type="dxa" w:w="2880"/>
          </w:tcPr>
          <w:p>
            <w:r>
              <w:t>Missing data</w:t>
            </w:r>
          </w:p>
        </w:tc>
        <w:tc>
          <w:tcPr>
            <w:tcW w:type="dxa" w:w="2880"/>
          </w:tcPr>
          <w:p>
            <w:r>
              <w:t>Methods: Outcomes and Source Records (per-band breakdown of the coordination item not retained; per-participant dates not preserved)</w:t>
            </w:r>
          </w:p>
        </w:tc>
      </w:tr>
      <w:tr>
        <w:tc>
          <w:tcPr>
            <w:tcW w:type="dxa" w:w="2880"/>
          </w:tcPr>
          <w:p>
            <w:r>
              <w:t>12d</w:t>
            </w:r>
          </w:p>
        </w:tc>
        <w:tc>
          <w:tcPr>
            <w:tcW w:type="dxa" w:w="2880"/>
          </w:tcPr>
          <w:p>
            <w:r>
              <w:t>Sampling strategy (if applicable)</w:t>
            </w:r>
          </w:p>
        </w:tc>
        <w:tc>
          <w:tcPr>
            <w:tcW w:type="dxa" w:w="2880"/>
          </w:tcPr>
          <w:p>
            <w:r>
              <w:t>Not applicable (convenience sample with onward forwarding)</w:t>
            </w:r>
          </w:p>
        </w:tc>
      </w:tr>
      <w:tr>
        <w:tc>
          <w:tcPr>
            <w:tcW w:type="dxa" w:w="2880"/>
          </w:tcPr>
          <w:p>
            <w:r>
              <w:t>12e</w:t>
            </w:r>
          </w:p>
        </w:tc>
        <w:tc>
          <w:tcPr>
            <w:tcW w:type="dxa" w:w="2880"/>
          </w:tcPr>
          <w:p>
            <w:r>
              <w:t>Sensitivity analyses</w:t>
            </w:r>
          </w:p>
        </w:tc>
        <w:tc>
          <w:tcPr>
            <w:tcW w:type="dxa" w:w="2880"/>
          </w:tcPr>
          <w:p>
            <w:r>
              <w:t>None performed; stated in Statistical Analysis</w:t>
            </w:r>
          </w:p>
        </w:tc>
      </w:tr>
      <w:tr>
        <w:tc>
          <w:tcPr>
            <w:tcW w:type="dxa" w:w="2880"/>
          </w:tcPr>
          <w:p>
            <w:r>
              <w:t>13a</w:t>
            </w:r>
          </w:p>
        </w:tc>
        <w:tc>
          <w:tcPr>
            <w:tcW w:type="dxa" w:w="2880"/>
          </w:tcPr>
          <w:p>
            <w:r>
              <w:t>Participants: numbers at each stage</w:t>
            </w:r>
          </w:p>
        </w:tc>
        <w:tc>
          <w:tcPr>
            <w:tcW w:type="dxa" w:w="2880"/>
          </w:tcPr>
          <w:p>
            <w:r>
              <w:t>Results: Compiled Classification Counts; Figure 2 (returned-file sample only; invited/started numbers not compiled - stated)</w:t>
            </w:r>
          </w:p>
        </w:tc>
      </w:tr>
      <w:tr>
        <w:tc>
          <w:tcPr>
            <w:tcW w:type="dxa" w:w="2880"/>
          </w:tcPr>
          <w:p>
            <w:r>
              <w:t>13b</w:t>
            </w:r>
          </w:p>
        </w:tc>
        <w:tc>
          <w:tcPr>
            <w:tcW w:type="dxa" w:w="2880"/>
          </w:tcPr>
          <w:p>
            <w:r>
              <w:t>Reasons for non-participation</w:t>
            </w:r>
          </w:p>
        </w:tc>
        <w:tc>
          <w:tcPr>
            <w:tcW w:type="dxa" w:w="2880"/>
          </w:tcPr>
          <w:p>
            <w:r>
              <w:t>Not available (no invitation denominator); stated in Methods and Limitations</w:t>
            </w:r>
          </w:p>
        </w:tc>
      </w:tr>
      <w:tr>
        <w:tc>
          <w:tcPr>
            <w:tcW w:type="dxa" w:w="2880"/>
          </w:tcPr>
          <w:p>
            <w:r>
              <w:t>13c</w:t>
            </w:r>
          </w:p>
        </w:tc>
        <w:tc>
          <w:tcPr>
            <w:tcW w:type="dxa" w:w="2880"/>
          </w:tcPr>
          <w:p>
            <w:r>
              <w:t>Flow diagram</w:t>
            </w:r>
          </w:p>
        </w:tc>
        <w:tc>
          <w:tcPr>
            <w:tcW w:type="dxa" w:w="2880"/>
          </w:tcPr>
          <w:p>
            <w:r>
              <w:t>Figure 2 (categories derived from the aggregate summary)</w:t>
            </w:r>
          </w:p>
        </w:tc>
      </w:tr>
      <w:tr>
        <w:tc>
          <w:tcPr>
            <w:tcW w:type="dxa" w:w="2880"/>
          </w:tcPr>
          <w:p>
            <w:r>
              <w:t>14a</w:t>
            </w:r>
          </w:p>
        </w:tc>
        <w:tc>
          <w:tcPr>
            <w:tcW w:type="dxa" w:w="2880"/>
          </w:tcPr>
          <w:p>
            <w:r>
              <w:t>Descriptive data: characteristics</w:t>
            </w:r>
          </w:p>
        </w:tc>
        <w:tc>
          <w:tcPr>
            <w:tcW w:type="dxa" w:w="2880"/>
          </w:tcPr>
          <w:p>
            <w:r>
              <w:t>Methods: Participants and Recruitment (age band, gender, education)</w:t>
            </w:r>
          </w:p>
        </w:tc>
      </w:tr>
      <w:tr>
        <w:tc>
          <w:tcPr>
            <w:tcW w:type="dxa" w:w="2880"/>
          </w:tcPr>
          <w:p>
            <w:r>
              <w:t>14b</w:t>
            </w:r>
          </w:p>
        </w:tc>
        <w:tc>
          <w:tcPr>
            <w:tcW w:type="dxa" w:w="2880"/>
          </w:tcPr>
          <w:p>
            <w:r>
              <w:t>Missing data per variable</w:t>
            </w:r>
          </w:p>
        </w:tc>
        <w:tc>
          <w:tcPr>
            <w:tcW w:type="dxa" w:w="2880"/>
          </w:tcPr>
          <w:p>
            <w:r>
              <w:t>Results: Questionnaire Coding (age breakdown of coordination item unavailable)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Outcome data: numbers of outcome events</w:t>
            </w:r>
          </w:p>
        </w:tc>
        <w:tc>
          <w:tcPr>
            <w:tcW w:type="dxa" w:w="2880"/>
          </w:tcPr>
          <w:p>
            <w:r>
              <w:t>Results: Tables 1-3; Figures 2-5</w:t>
            </w:r>
          </w:p>
        </w:tc>
      </w:tr>
      <w:tr>
        <w:tc>
          <w:tcPr>
            <w:tcW w:type="dxa" w:w="2880"/>
          </w:tcPr>
          <w:p>
            <w:r>
              <w:t>16a</w:t>
            </w:r>
          </w:p>
        </w:tc>
        <w:tc>
          <w:tcPr>
            <w:tcW w:type="dxa" w:w="2880"/>
          </w:tcPr>
          <w:p>
            <w:r>
              <w:t>Main results: unadjusted estimates and precision</w:t>
            </w:r>
          </w:p>
        </w:tc>
        <w:tc>
          <w:tcPr>
            <w:tcW w:type="dxa" w:w="2880"/>
          </w:tcPr>
          <w:p>
            <w:r>
              <w:t>Results: Table 4 (Wilson 95% CIs)</w:t>
            </w:r>
          </w:p>
        </w:tc>
      </w:tr>
      <w:tr>
        <w:tc>
          <w:tcPr>
            <w:tcW w:type="dxa" w:w="2880"/>
          </w:tcPr>
          <w:p>
            <w:r>
              <w:t>16b</w:t>
            </w:r>
          </w:p>
        </w:tc>
        <w:tc>
          <w:tcPr>
            <w:tcW w:type="dxa" w:w="2880"/>
          </w:tcPr>
          <w:p>
            <w:r>
              <w:t>Category boundaries</w:t>
            </w:r>
          </w:p>
        </w:tc>
        <w:tc>
          <w:tcPr>
            <w:tcW w:type="dxa" w:w="2880"/>
          </w:tcPr>
          <w:p>
            <w:r>
              <w:t>Results: Tables 1-2 (denominators stated)</w:t>
            </w:r>
          </w:p>
        </w:tc>
      </w:tr>
      <w:tr>
        <w:tc>
          <w:tcPr>
            <w:tcW w:type="dxa" w:w="2880"/>
          </w:tcPr>
          <w:p>
            <w:r>
              <w:t>16c</w:t>
            </w:r>
          </w:p>
        </w:tc>
        <w:tc>
          <w:tcPr>
            <w:tcW w:type="dxa" w:w="2880"/>
          </w:tcPr>
          <w:p>
            <w:r>
              <w:t>Translating relative risk to absolute risk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Other analyses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Key results</w:t>
            </w:r>
          </w:p>
        </w:tc>
        <w:tc>
          <w:tcPr>
            <w:tcW w:type="dxa" w:w="2880"/>
          </w:tcPr>
          <w:p>
            <w:r>
              <w:t>Discussion: Principal Findings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Limitations</w:t>
            </w:r>
          </w:p>
        </w:tc>
        <w:tc>
          <w:tcPr>
            <w:tcW w:type="dxa" w:w="2880"/>
          </w:tcPr>
          <w:p>
            <w:r>
              <w:t>Discussion: Limitations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Discussion: Principal Findings; Comparison With the Earlier Deployment and Prior Work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Generalisability</w:t>
            </w:r>
          </w:p>
        </w:tc>
        <w:tc>
          <w:tcPr>
            <w:tcW w:type="dxa" w:w="2880"/>
          </w:tcPr>
          <w:p>
            <w:r>
              <w:t>Discussion: Limitations (respondent-only denominator)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Funding</w:t>
            </w:r>
          </w:p>
        </w:tc>
        <w:tc>
          <w:tcPr>
            <w:tcW w:type="dxa" w:w="2880"/>
          </w:tcPr>
          <w:p>
            <w:r>
              <w:t>Funding statement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