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between April and July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between April and July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commentRangeStart w:id="0"/>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commentRangeEnd w:id="0"/>
      <w:r>
        <w:rPr>
          <w:rStyle w:val="CommentReference"/>
        </w:rPr>
        <w:commentReference w:id="0"/>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whose heading gives the study period as March to April 2026, whereas the research assistant reports that recruitment began on 3 April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investigator reports that some players received an earlier version in which a run could end in a game over, whereas most played this archived build; which players received which version was not recorded.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investigator reports that the classifications applied a failure-then-stop rule: a player who stopped after a failure or game over was classified as an initial dropout, one who later played again as returned, and one who never played again as a non-return. The source records behind each classification are not linked to the summary.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commentRangeStart w:id="1"/>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investigator reports that the questionnaire contained these two items and demographic questions, used a five-point scale on which 4 or 5 was coded positive, and was answered by players immediately after they chose to stop playing. The questionnaire as sent, including its language, has not been linked to the study record, and the difference between the summary labels and the invitation wording is unresolved. These counts are not treated as validated measures of coordination, intrinsic motivation, intention or the success of a framing manipulation.</w:t>
      </w:r>
      <w:commentRangeEnd w:id="1"/>
      <w:r>
        <w:rPr>
          <w:rStyle w:val="CommentReference"/>
        </w:rPr>
        <w:commentReference w:id="1"/>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contain the source-linked observations needed to regenerate the summary or verify unique participant counts. No participant names or email addresses were collected. With the first build, results and stopping were recorded by hand by assistants who were not always beside the player; later returns arrived by email in mixed formats. The returned results and questionnaire responses were compiled into the summary in July 2026 and were not retained as separate records, so record-level exclusions, duplicate checks and missingness cannot be reconstructed.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The returned files were not retained as separate records after compilation, so implied consent is documented by the invitation wording and the aggregate record rather than by individual returns. Stage 3A did not conduct a clinical health-performance assessment.</w:t>
      </w:r>
    </w:p>
    <w:p w14:paraId="77F5A6B9" w14:textId="77777777" w:rsidR="00125155" w:rsidRDefault="00000000">
      <w:pPr>
        <w:pageBreakBefore w:val="0"/>
        <w:widowControl/>
      </w:pPr>
      <w:commentRangeStart w:id="2"/>
      <w:r>
        <w:t>Stage 3A recruitment began on 3 April 2026 after the supervisor’s confirmation to proceed. According to the research assistant who handled collection, most players took part after the recruitment deadline, and returns from older players in particular arrived late because reaching them required communication and arrangements; the last returns were compiled and processed in July 2026.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commentRangeEnd w:id="2"/>
      <w:r>
        <w:rPr>
          <w:rStyle w:val="CommentReference"/>
        </w:rPr>
        <w:commentReference w:id="2"/>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whose administered form has not been linked to the study record.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mainly zero-failure Stage 3A build, the unrecorded version each player received,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commentRangeStart w:id="3"/>
      <w:r>
        <w:t>Some Stage 3B players had previously played the study game, and its instructions asked about previous play. The original component phase has yielded insufficient comparable data: five returns on a superseded build were excluded, and the frozen study edition had produced five returns by 30 September 2026, three of them single sessions, within a collection window that closes on 15 October 2026.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commentRangeEnd w:id="3"/>
      <w:r>
        <w:rPr>
          <w:rStyle w:val="CommentReference"/>
        </w:rPr>
        <w:commentReference w:id="3"/>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Unlinked source records, the unrecorded build version and missing event timing limit the behavioural meaning of the counts. The questionnaire as administered also requires linkage to the record.</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Feedback capture should also be built into the game. The Stage 3A builds had no in-game consent step or questionnaire, so responses were collected outside the game and returns arrived in mixed formats; the Stage 3B builds recorded consent, asked questions immediately after play and exported runs, condition and answers in one structured file, which made each return checkable but did not secure returns, because players still had to send the file.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Distributor invitations are retained. The returned results and questionnaire responses were compiled into the aggregate summary and were not retained as separate records, so no participant-level Stage 3A dataset exists. The twelve Stage 3B Pro source exports and the dated batch review are retained by the first author; the exports' software metadata and the investigator's account of who played are distinguished in reporting. Requests for access should be directed to the corresponding author and require review of de-identification, participant consent and institutional conditions.</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commentRangeStart w:id="4"/>
      <w:r>
        <w:t>SKTT led the research programme, deployment, compilation of records and manuscript preparation. CFC supervised the research programme and reviewed the preceding manuscript version.</w:t>
      </w:r>
      <w:commentRangeEnd w:id="4"/>
      <w:r>
        <w:rPr>
          <w:rStyle w:val="CommentReference"/>
        </w:rPr>
        <w:commentReference w:id="4"/>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Stage 3A summary compiled in July 2026.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sion" w:initials="ER" w:date="2026-09-29T05:59:12Z">
    <w:p>
      <w:pPr>
        <w:pStyle w:val="CommentText"/>
      </w:pPr>
      <w:r>
        <w:rPr>
          <w:rStyle w:val="CommentReference"/>
        </w:rPr>
        <w:annotationRef/>
      </w:r>
      <w:r>
        <w:t>Recruitment and first-time Stage 3A play reflect your new clarification. The separate source-data issue is whether the 120 returned records can be linked to 120 unique participants; no duplicate-removal procedure has been invented.</w:t>
      </w:r>
    </w:p>
  </w:comment>
  <w:comment w:id="1" w:author="Editorial revision" w:initials="ER" w:date="2026-09-29T05:59:12Z">
    <w:p>
      <w:pPr>
        <w:pStyle w:val="CommentText"/>
      </w:pPr>
      <w:r>
        <w:rPr>
          <w:rStyle w:val="CommentReference"/>
        </w:rPr>
        <w:annotationRef/>
      </w:r>
      <w:r>
        <w:t>Before journal submission, supply the administered questionnaire, language, response options and positive-coding rule. If these cannot be recovered, remove the questionnaire results and update the report accordingly.</w:t>
      </w:r>
    </w:p>
  </w:comment>
  <w:comment w:id="2" w:author="Editorial revision" w:initials="ER" w:date="2026-09-29T05:59:12Z">
    <w:p>
      <w:pPr>
        <w:pStyle w:val="CommentText"/>
      </w:pPr>
      <w:r>
        <w:rPr>
          <w:rStyle w:val="CommentReference"/>
        </w:rPr>
        <w:annotationRef/>
      </w:r>
      <w:r>
        <w:t>The chronology is retained transparently. Obtain the institution’s written determination addressing collection before the 6 August 2026 formal decision. A stated approval-period start date does not itself establish prior approval.</w:t>
      </w:r>
    </w:p>
  </w:comment>
  <w:comment w:id="3" w:author="Editorial revision" w:initials="ER" w:date="2026-09-29T05:59:12Z">
    <w:p>
      <w:pPr>
        <w:pStyle w:val="CommentText"/>
      </w:pPr>
      <w:r>
        <w:t>Updated from eight Pro exports and your 29 September confirmation that the four code holders were distinct volunteers who invited others. Additional invitees are not counted. Confirm who played each run before person-level or paired longitudinal analysis; reconcile the original self-test and participant-approval metadata with the applicable consent and institutional records. Pro records remain separate from Stage 3A and the original component phase.</w:t>
      </w:r>
    </w:p>
  </w:comment>
  <w:comment w:id="4" w:author="Editorial revision" w:initials="ER" w:date="2026-09-29T05:59:12Z">
    <w:p>
      <w:pPr>
        <w:pStyle w:val="CommentText"/>
      </w:pPr>
      <w:r>
        <w:rPr>
          <w:rStyle w:val="CommentReference"/>
        </w:rPr>
        <w:annotationRef/>
      </w:r>
      <w:r>
        <w:t>Both authors need to review and approve this revised version before restoring a statement that all authors approved the final manuscript.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