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Eight Pro exports from 19–20 September 2026 (UTC; builds 4.1 and 4.1.1) were examined retrospectively as a separate development exercise. The investigator confirmed that their four codes were assigned to four distinct volunteers who also invited other players. The exports do not enumerate those invitees or establish whether any used an existing volunteer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confirmation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62 run appearances across the eight exports represented 34 distinct runs in 11 software-defined visits under four codes: 14 practice runs, six warm-ups and 14 performance checks. Repeated run records showed no conflicts. All runs recorded touch input. Three codes carried a prior-play response of yes and one of no; these responses do not identify a paired follow-up cohort from Stage 3A. Software visits do not necessarily represent separate days or independent players.</w:t>
      </w:r>
    </w:p>
    <w:p>
      <w:pPr>
        <w:widowControl/>
      </w:pPr>
      <w:r>
        <w:t>Eight decisions could be linked to the preceding performance and player-feedback records and to the settings recorded for the next run. All used local rules, with no cloud-model request. Fourteen feedback records comprised eight answered and six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yielded insufficient comparable data at the 26 September 2026 cut-off, including exclusions of returns on a superseded build. The September Pro exports are a separate developmental record: they demonstrate recorded operation of a rule-based adaptation process, without testing its learning benefit. Five of 11 software visits contained no practice, and three of the six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eight Stage 3B Pro source exports are retained unchanged; their software metadata and the investigator’s clarification of volunteer identities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