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in March–April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in March–April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rule actually applied in aggregation is not retained.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administered wording, language, response scale and positivity threshold have not been reconciled. These counts are not treated as validated measures of coordination, intrinsic motivation, intention or the success of a framing manipulation.</w:t>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Ten Pro exports from 19–20 September 2026 (UTC; builds 4.1 and 4.1.1), covering five participant codes, were examined retrospectively as a separate development exercise and summarised in a dated batch review of 20 September 2026. The software labels every export as a researcher self-test; which codes were played by the investigator and which by volunteers is recorded separately by the investigator,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r>
        <w:t>Stage 3A collection occurred in March–April 2026 after the supervisor’s confirmation to proceed.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p>
    <w:p>
      <w:pPr>
        <w:widowControl/>
      </w:pPr>
      <w:r>
        <w:t>The Pro exports retain the software label “researcher-self-test”, with participant-release or approval fields set to false and ethics references absent or not asserted. Any use by volunteers is documented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pending reconciliation with the administered instrument.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81 run appearances across the ten exports represented 42 distinct runs in 12 software-defined visits under five codes: 17 practice runs, eight warm-ups and 17 performance checks. Repeated run records showed no substantive conflicts. Three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Ten decisions could be linked to the preceding performance and player-feedback records and to the settings recorded for the next run: seven were final local-rule decisions and three were player overrides of the proposed setting. No cloud-model request was recorded. Seventeen practice-feedback records comprised ten answered and seven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Stage 3A zero-failure mode,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r>
        <w:t>Some Stage 3B players had previously played the study game, and its instructions asked about previous play. The original component phase has yielded insufficient comparable data: five returns on a superseded build were excluded, and the frozen study edition had produced three single-session returns by 29 September 2026, within a collection window that closes on 15 October 2026. The September Pro exports are a separate developmental record: they demonstrate recorded operation of a rule-based adaptation process, without testing its learning benefit. Five of 12 software visits contained no practice, and two of the seven visits with practice lacked a closing check. Prior exposure, input modality, changing builds and unresolved player attribution limit interpretation. Neither the original phase nor the Pro records are pooled with Stage 3A.</w:t>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Uncertain applied classification rules and event timing limit the behavioural meaning of the counts. Questionnaire wording and coding also require reconciliation.</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ten Stage 3B Pro source exports and the dated batch review are retained by the first author; the exports' software metadata and the investigator's record of who played under each code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r>
        <w:t>SKTT led the research programme, deployment, compilation of records and manuscript preparation. CFC supervised the research programme and reviewed the preceding manuscript version.</w:t>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March–April 2026 Stage 3A summary.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