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  <w:sz w:val="20"/>
        </w:rPr>
        <w:t>Table 3. FRA index outcomes, low-engagement group (cycles ≤ 3, N = 21).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Measure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Gamified FRA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Baseline FRA index (mean ± SD)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44.7 ± 12.0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Post-intervention (mean ± SD)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47.5 ± 11.5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Change (mean ± SD)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+2.8 ± 11.1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Self-reported improvement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11/21 (52%)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Satisfaction (Satisfied/Very Satisfied)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11/21 (52%)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