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EngD Programme Topic</w:t>
      </w:r>
    </w:p>
    <w:p w14:paraId="3571915A" w14:textId="77777777" w:rsidR="0062437E" w:rsidRDefault="00000000">
      <w:pPr>
        <w:spacing w:after="600"/>
        <w:jc w:val="center"/>
      </w:pPr>
      <w:r>
        <w:rPr>
          <w:b/>
          <w:i/>
        </w:rPr>
        <w:t>Gamification as a Proactive Approach for Continuous Improvement and Innovation Enhancement</w:t>
      </w:r>
    </w:p>
    <w:p w14:paraId="60E20CE6" w14:textId="77777777" w:rsidR="0062437E" w:rsidRDefault="00000000">
      <w:pPr>
        <w:spacing w:after="20"/>
        <w:jc w:val="center"/>
      </w:pPr>
      <w:r>
        <w:rPr>
          <w:i/>
          <w:sz w:val="22"/>
        </w:rPr>
        <w:t>Thesis Title</w:t>
      </w:r>
    </w:p>
    <w:p w14:paraId="5B15C046" w14:textId="77777777" w:rsidR="0062437E" w:rsidRDefault="00000000">
      <w:pPr>
        <w:spacing w:before="80" w:after="40"/>
        <w:jc w:val="center"/>
      </w:pPr>
      <w:r>
        <w:rPr>
          <w:b/>
          <w:sz w:val="32"/>
        </w:rPr>
        <w:t>From FIDS to FIAS:</w:t>
      </w:r>
    </w:p>
    <w:p w14:paraId="6C7E2CC5" w14:textId="77777777" w:rsidR="0062437E" w:rsidRDefault="00000000">
      <w:pPr>
        <w:spacing w:after="720"/>
        <w:jc w:val="center"/>
      </w:pPr>
      <w:r>
        <w:rPr>
          <w:b/>
          <w:sz w:val="28"/>
        </w:rPr>
        <w:t>A Behavioural Science Programme on Failure-Induced Abandonment in Gamified Fall Risk Assessment, Toward an Adaptive-Learning Framework</w:t>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June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lastRenderedPageBreak/>
        <w:t>Abstract</w:t>
      </w:r>
      <w:bookmarkEnd w:id="0"/>
    </w:p>
    <w:p w14:paraId="33F4A869" w14:textId="77777777" w:rsidR="0062437E" w:rsidRDefault="00000000">
      <w:pPr>
        <w:jc w:val="both"/>
      </w:pPr>
      <w:r>
        <w:t>Older adults abandon clinically valuable health technology at high rates, and the established models do not explain why. This thesis investigates the problem through Fall Risk Assessment (FRA), within the EngD topic Gamification as a Proactive Approach for Continuous Improvement and Innovation Enhancement. From the technology-acceptance and gamification literatures (TAM, STAM, Octalysis) it builds a null hypothesis: a well-designed gamified FRA will be accepted by older users, and adverse first experiences will not produce lasting abandonment. Three field stages test that hypothesis and follow its rejection to the thesis's findings.</w:t>
      </w:r>
    </w:p>
    <w:p w14:paraId="4BEDA2C7" w14:textId="77777777" w:rsidR="0062437E" w:rsidRDefault="00000000">
      <w:pPr>
        <w:jc w:val="both"/>
      </w:pPr>
      <w:r>
        <w:t>Stage 1, a survey of 200 residents surveyed from a population of 280 at a Guangzhou care facility, found the retrospective signal: most prior FRA users reported an adverse first experience and never returned. Stage 2 tested the hypothesis prospectively with thirty residents using an AI-assisted skiing game whose weight-shift control doubles as the clinical measurement. Despite a design satisfying every acceptance and gamification criterion, seventy per cent of participants disengaged at or before three game cycles, none re-engaged, and abandonment persisted even where recorded balance scores improved. Stage 3, the attribution experiment, offered the same game to a separate cohort of 120 Hong Kong adults with the clinical attachment removed: the decoupled game was accepted at the levels the gamification literature predicts — 93.3% retention, and 65.2% of initial dropouts returning voluntarily — a pattern consistent with the coupling account and inconsistent with the dispositional account.</w:t>
      </w:r>
    </w:p>
    <w:p w14:paraId="768A95F0" w14:textId="77777777" w:rsidR="0062437E" w:rsidRDefault="00000000">
      <w:pPr>
        <w:jc w:val="both"/>
      </w:pPr>
      <w:r>
        <w:rPr>
          <w:i w:val="0"/>
        </w:rPr>
        <w:t>Three contributions follow. The problem finding is Failure-Induced Abandonment Syndrome (FIAS): a provisional, frame-sensitive behavioural construct structured by loss aversion, identity-relevant endowment, mental accounting and stereotype threat, proposed as candidate mechanisms rather than measured ones. The scope finding is a boundary condition for gamification theory: it holds for older adults until the gamified activity is attached to a purpose-based technology whose verdicts touch the user's identity-level concerns. The design discovery is adaptive learning — challenge calibrated to the individual, and failure reframed as information about a rising personal trajectory — continuous improvement operating at the level of the individual user, advanced as the behavioural-change driver that can safely re-attach clinical purpose and formalised as an engineering design framework for pre-specified prospective validation. The work is offered as exploratory engineering research: its discoveries are stated plainly, and each arrives with the confirmatory study it makes possible.</w:t>
      </w:r>
    </w:p>
    <w:p w14:paraId="3DA71CBC" w14:textId="77777777" w:rsidR="0062437E" w:rsidRDefault="00000000">
      <w:pPr>
        <w:jc w:val="both"/>
      </w:pPr>
      <w:r>
        <w:t>Keywords: gamification; continuous improvement; elderly technology adoption; Fall Risk Assessment; failure-induced abandonment; adaptive learning; behavioural economics; technology acceptance.</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lastRenderedPageBreak/>
        <w:t>Table of Contents</w:t>
      </w:r>
      <w:bookmarkEnd w:id="2"/>
    </w:p>
    <w:p w14:paraId="60251B6A" w14:textId="77777777" w:rsidR="00FD5D21" w:rsidRDefault="00000000">
      <w:pPr>
        <w:pStyle w:val="TOC1"/>
        <w:tabs>
          <w:tab w:val="right" w:leader="dot" w:pos="8495"/>
        </w:tabs>
        <w:rPr>
          <w:noProof/>
        </w:rPr>
      </w:pPr>
      <w:r>
        <w:t>Abstract</w:t>
        <w:tab/>
        <w:t>iii</w:t>
      </w:r>
    </w:p>
    <w:p w14:paraId="0A998D73" w14:textId="77777777" w:rsidR="00FD5D21" w:rsidRDefault="00FD5D21">
      <w:pPr>
        <w:pStyle w:val="TOC1"/>
        <w:tabs>
          <w:tab w:val="right" w:leader="dot" w:pos="8495"/>
        </w:tabs>
        <w:rPr>
          <w:noProof/>
        </w:rPr>
      </w:pPr>
      <w:r>
        <w:t>Acknowledgements</w:t>
        <w:tab/>
        <w:t>v</w:t>
      </w:r>
    </w:p>
    <w:p w14:paraId="3FD42362" w14:textId="77777777" w:rsidR="00FD5D21" w:rsidRDefault="00FD5D21">
      <w:pPr>
        <w:pStyle w:val="TOC1"/>
        <w:tabs>
          <w:tab w:val="right" w:leader="dot" w:pos="8495"/>
        </w:tabs>
        <w:rPr>
          <w:noProof/>
        </w:rPr>
      </w:pPr>
      <w:r>
        <w:t>Table of Contents</w:t>
        <w:tab/>
        <w:t>vi</w:t>
      </w:r>
    </w:p>
    <w:p w14:paraId="485E3FB1" w14:textId="77777777" w:rsidR="00FD5D21" w:rsidRDefault="00FD5D21">
      <w:pPr>
        <w:pStyle w:val="TOC1"/>
        <w:tabs>
          <w:tab w:val="right" w:leader="dot" w:pos="8495"/>
        </w:tabs>
        <w:rPr>
          <w:noProof/>
        </w:rPr>
      </w:pPr>
      <w:r>
        <w:t>List of Figures</w:t>
        <w:tab/>
        <w:t>xiv</w:t>
      </w:r>
    </w:p>
    <w:p w14:paraId="62BE4204" w14:textId="77777777" w:rsidR="00FD5D21" w:rsidRDefault="00FD5D21">
      <w:pPr>
        <w:pStyle w:val="TOC1"/>
        <w:tabs>
          <w:tab w:val="right" w:leader="dot" w:pos="8495"/>
        </w:tabs>
        <w:rPr>
          <w:noProof/>
        </w:rPr>
      </w:pPr>
      <w:r>
        <w:t>List of Tables</w:t>
        <w:tab/>
        <w:t>xvi</w:t>
      </w:r>
    </w:p>
    <w:p w14:paraId="37F76FB1" w14:textId="77777777" w:rsidR="00FD5D21" w:rsidRDefault="00FD5D21">
      <w:pPr>
        <w:pStyle w:val="TOC1"/>
        <w:tabs>
          <w:tab w:val="right" w:leader="dot" w:pos="8495"/>
        </w:tabs>
        <w:rPr>
          <w:noProof/>
        </w:rPr>
      </w:pPr>
      <w:r>
        <w:t>List of Abbreviations</w:t>
        <w:tab/>
        <w:t>xvii</w:t>
      </w:r>
    </w:p>
    <w:p w14:paraId="2A84A3C8" w14:textId="77777777" w:rsidR="00FD5D21" w:rsidRDefault="00FD5D21">
      <w:pPr>
        <w:pStyle w:val="TOC1"/>
        <w:tabs>
          <w:tab w:val="right" w:leader="dot" w:pos="8495"/>
        </w:tabs>
        <w:rPr>
          <w:noProof/>
        </w:rPr>
      </w:pPr>
      <w:r>
        <w:t>Chapter 1 Introduction</w:t>
        <w:tab/>
        <w:t>1</w:t>
      </w:r>
    </w:p>
    <w:p w14:paraId="3D8BF843" w14:textId="77777777" w:rsidR="00FD5D21" w:rsidRDefault="00FD5D21">
      <w:pPr>
        <w:pStyle w:val="TOC2"/>
        <w:tabs>
          <w:tab w:val="right" w:leader="dot" w:pos="8495"/>
        </w:tabs>
        <w:rPr>
          <w:noProof/>
        </w:rPr>
      </w:pPr>
      <w:r>
        <w:t>1.1 The Point of Departure: An Empty Station in a Busy Hall</w:t>
        <w:tab/>
        <w:t>1</w:t>
      </w:r>
    </w:p>
    <w:p w14:paraId="3DBFFC8E" w14:textId="77777777" w:rsidR="00FD5D21" w:rsidRDefault="00FD5D21">
      <w:pPr>
        <w:pStyle w:val="TOC2"/>
        <w:tabs>
          <w:tab w:val="right" w:leader="dot" w:pos="8495"/>
        </w:tabs>
        <w:rPr>
          <w:noProof/>
        </w:rPr>
      </w:pPr>
      <w:r>
        <w:t>1.2 Why the Empty Station Is an Industry Problem, Not a Local Problem</w:t>
        <w:tab/>
        <w:t>1</w:t>
      </w:r>
    </w:p>
    <w:p w14:paraId="0948A1BD" w14:textId="77777777" w:rsidR="00FD5D21" w:rsidRDefault="00FD5D21">
      <w:pPr>
        <w:pStyle w:val="TOC2"/>
        <w:tabs>
          <w:tab w:val="right" w:leader="dot" w:pos="8495"/>
        </w:tabs>
        <w:rPr>
          <w:noProof/>
        </w:rPr>
      </w:pPr>
      <w:r>
        <w:t>1.3 The Demographic Backdrop</w:t>
        <w:tab/>
        <w:t>2</w:t>
      </w:r>
    </w:p>
    <w:p w14:paraId="42719472" w14:textId="77777777" w:rsidR="00FD5D21" w:rsidRDefault="00FD5D21">
      <w:pPr>
        <w:pStyle w:val="TOC2"/>
        <w:tabs>
          <w:tab w:val="right" w:leader="dot" w:pos="8495"/>
        </w:tabs>
        <w:rPr>
          <w:noProof/>
        </w:rPr>
      </w:pPr>
      <w:r>
        <w:t>1.4 Falls, the Cascade, and the Fall Risk Assessment Technology</w:t>
        <w:tab/>
        <w:t>3</w:t>
      </w:r>
    </w:p>
    <w:p w14:paraId="1A58A984" w14:textId="77777777" w:rsidR="00FD5D21" w:rsidRDefault="00FD5D21">
      <w:pPr>
        <w:pStyle w:val="TOC2"/>
        <w:tabs>
          <w:tab w:val="right" w:leader="dot" w:pos="8495"/>
        </w:tabs>
        <w:rPr>
          <w:noProof/>
        </w:rPr>
      </w:pPr>
      <w:r>
        <w:t>1.5 The Working Hypothesis Formed Before the Research Began</w:t>
        <w:tab/>
        <w:t>3</w:t>
      </w:r>
    </w:p>
    <w:p w14:paraId="566BE719" w14:textId="77777777" w:rsidR="00FD5D21" w:rsidRDefault="00FD5D21">
      <w:pPr>
        <w:pStyle w:val="TOC2"/>
        <w:tabs>
          <w:tab w:val="right" w:leader="dot" w:pos="8495"/>
        </w:tabs>
        <w:rPr>
          <w:noProof/>
        </w:rPr>
      </w:pPr>
      <w:r>
        <w:t>1.6 The Initial Survey: Building the Foundation of the Programme</w:t>
        <w:tab/>
        <w:t>4</w:t>
      </w:r>
    </w:p>
    <w:p w14:paraId="048D8220" w14:textId="77777777" w:rsidR="00FD5D21" w:rsidRDefault="00FD5D21">
      <w:pPr>
        <w:pStyle w:val="TOC2"/>
        <w:tabs>
          <w:tab w:val="right" w:leader="dot" w:pos="8495"/>
        </w:tabs>
        <w:rPr>
          <w:noProof/>
        </w:rPr>
      </w:pPr>
      <w:r>
        <w:t>1.7 The Three F4 Residents and the Objective-Score-Improvement/Non-Return Paradox</w:t>
        <w:tab/>
        <w:t>5</w:t>
      </w:r>
    </w:p>
    <w:p w14:paraId="43C5C983" w14:textId="77777777" w:rsidR="00FD5D21" w:rsidRDefault="00FD5D21">
      <w:pPr>
        <w:pStyle w:val="TOC2"/>
        <w:tabs>
          <w:tab w:val="right" w:leader="dot" w:pos="8495"/>
        </w:tabs>
        <w:rPr>
          <w:noProof/>
        </w:rPr>
      </w:pPr>
      <w:r>
        <w:t>1.8 The Learn-to-Earn Philosophy: A Thread Running Through the Journey</w:t>
        <w:tab/>
        <w:t>6</w:t>
      </w:r>
    </w:p>
    <w:p w14:paraId="15D06FCC" w14:textId="77777777" w:rsidR="00FD5D21" w:rsidRDefault="00FD5D21">
      <w:pPr>
        <w:pStyle w:val="TOC2"/>
        <w:tabs>
          <w:tab w:val="right" w:leader="dot" w:pos="8495"/>
        </w:tabs>
        <w:rPr>
          <w:noProof/>
        </w:rPr>
      </w:pPr>
      <w:r>
        <w:t>1.9 The Decoupling Test and the Closure of the Empirical Arc</w:t>
        <w:tab/>
        <w:t>6</w:t>
      </w:r>
    </w:p>
    <w:p w14:paraId="785DAA57" w14:textId="77777777" w:rsidR="00FD5D21" w:rsidRDefault="00FD5D21">
      <w:pPr>
        <w:pStyle w:val="TOC2"/>
        <w:tabs>
          <w:tab w:val="right" w:leader="dot" w:pos="8495"/>
        </w:tabs>
        <w:rPr>
          <w:noProof/>
        </w:rPr>
      </w:pPr>
      <w:r>
        <w:t>1.10 The Researcher's Position</w:t>
        <w:tab/>
        <w:t>7</w:t>
      </w:r>
    </w:p>
    <w:p w14:paraId="3C5CC584" w14:textId="77777777" w:rsidR="00FD5D21" w:rsidRDefault="00FD5D21">
      <w:pPr>
        <w:pStyle w:val="TOC2"/>
        <w:tabs>
          <w:tab w:val="right" w:leader="dot" w:pos="8495"/>
        </w:tabs>
        <w:rPr>
          <w:noProof/>
        </w:rPr>
      </w:pPr>
      <w:r>
        <w:t>1.11 Aim and Research Questions</w:t>
        <w:tab/>
        <w:t>8</w:t>
      </w:r>
    </w:p>
    <w:p w14:paraId="4E1220CF" w14:textId="77777777" w:rsidR="00FD5D21" w:rsidRDefault="00FD5D21">
      <w:pPr>
        <w:pStyle w:val="TOC2"/>
        <w:tabs>
          <w:tab w:val="right" w:leader="dot" w:pos="8495"/>
        </w:tabs>
        <w:rPr>
          <w:noProof/>
        </w:rPr>
      </w:pPr>
      <w:r>
        <w:t>1.12 Original Contributions</w:t>
        <w:tab/>
        <w:t>9</w:t>
      </w:r>
    </w:p>
    <w:p w14:paraId="28818675" w14:textId="77777777" w:rsidR="00FD5D21" w:rsidRDefault="00FD5D21">
      <w:pPr>
        <w:pStyle w:val="TOC2"/>
        <w:tabs>
          <w:tab w:val="right" w:leader="dot" w:pos="8495"/>
        </w:tabs>
        <w:rPr>
          <w:noProof/>
        </w:rPr>
      </w:pPr>
      <w:r>
        <w:t>1.13 Scope, Boundaries, and What This Thesis Does Not Claim</w:t>
        <w:tab/>
        <w:t>9</w:t>
      </w:r>
    </w:p>
    <w:p w14:paraId="0C100781" w14:textId="77777777" w:rsidR="00FD5D21" w:rsidRDefault="00FD5D21">
      <w:pPr>
        <w:pStyle w:val="TOC2"/>
        <w:tabs>
          <w:tab w:val="right" w:leader="dot" w:pos="8495"/>
        </w:tabs>
        <w:rPr>
          <w:noProof/>
        </w:rPr>
      </w:pPr>
      <w:r>
        <w:t>1.14 Structure of the Thesis</w:t>
        <w:tab/>
        <w:t>10</w:t>
      </w:r>
    </w:p>
    <w:p w14:paraId="5DFCA0E6" w14:textId="77777777" w:rsidR="00FD5D21" w:rsidRDefault="00FD5D21">
      <w:pPr>
        <w:pStyle w:val="TOC1"/>
        <w:tabs>
          <w:tab w:val="right" w:leader="dot" w:pos="8495"/>
        </w:tabs>
        <w:rPr>
          <w:noProof/>
        </w:rPr>
      </w:pPr>
      <w:r>
        <w:t>Chapter 2 Literature Review and Theoretical Foundation</w:t>
        <w:tab/>
        <w:t>11</w:t>
      </w:r>
    </w:p>
    <w:p w14:paraId="3FB58ADF" w14:textId="77777777" w:rsidR="00FD5D21" w:rsidRDefault="00FD5D21">
      <w:pPr>
        <w:pStyle w:val="TOC2"/>
        <w:tabs>
          <w:tab w:val="right" w:leader="dot" w:pos="8495"/>
        </w:tabs>
        <w:rPr>
          <w:noProof/>
        </w:rPr>
      </w:pPr>
      <w:r>
        <w:t>2.1 The Transformative Logic of the Literature Review</w:t>
        <w:tab/>
        <w:t>11</w:t>
      </w:r>
    </w:p>
    <w:p w14:paraId="329D5565" w14:textId="77777777" w:rsidR="00FD5D21" w:rsidRDefault="00FD5D21">
      <w:pPr>
        <w:pStyle w:val="TOC2"/>
        <w:tabs>
          <w:tab w:val="right" w:leader="dot" w:pos="8495"/>
        </w:tabs>
        <w:rPr>
          <w:noProof/>
        </w:rPr>
      </w:pPr>
      <w:r>
        <w:t>2.2 Stage One: The Technology Acceptance Lineage</w:t>
        <w:tab/>
        <w:t>12</w:t>
      </w:r>
    </w:p>
    <w:p w14:paraId="58E1C900" w14:textId="77777777" w:rsidR="00FD5D21" w:rsidRDefault="00FD5D21">
      <w:pPr>
        <w:pStyle w:val="TOC3"/>
        <w:tabs>
          <w:tab w:val="right" w:leader="dot" w:pos="8495"/>
        </w:tabs>
        <w:rPr>
          <w:noProof/>
        </w:rPr>
      </w:pPr>
      <w:r>
        <w:t>2.2.1 TAM and the Two-Construct Core</w:t>
        <w:tab/>
        <w:t>12</w:t>
      </w:r>
    </w:p>
    <w:p w14:paraId="68E8DF83" w14:textId="77777777" w:rsidR="00FD5D21" w:rsidRDefault="00FD5D21">
      <w:pPr>
        <w:pStyle w:val="TOC3"/>
        <w:tabs>
          <w:tab w:val="right" w:leader="dot" w:pos="8495"/>
        </w:tabs>
        <w:rPr>
          <w:noProof/>
        </w:rPr>
      </w:pPr>
      <w:r>
        <w:lastRenderedPageBreak/>
        <w:t>2.2.2 TAM2, TAM3 and UTAUT</w:t>
        <w:tab/>
        <w:t>12</w:t>
      </w:r>
    </w:p>
    <w:p w14:paraId="48D38E9D" w14:textId="77777777" w:rsidR="00FD5D21" w:rsidRDefault="00FD5D21">
      <w:pPr>
        <w:pStyle w:val="TOC3"/>
        <w:tabs>
          <w:tab w:val="right" w:leader="dot" w:pos="8495"/>
        </w:tabs>
        <w:rPr>
          <w:noProof/>
        </w:rPr>
      </w:pPr>
      <w:r>
        <w:t>2.2.3 The Senior Technology Acceptance Model (STAM)</w:t>
        <w:tab/>
        <w:t>13</w:t>
      </w:r>
    </w:p>
    <w:p w14:paraId="7712F7B2" w14:textId="77777777" w:rsidR="00FD5D21" w:rsidRDefault="00FD5D21">
      <w:pPr>
        <w:pStyle w:val="TOC2"/>
        <w:tabs>
          <w:tab w:val="right" w:leader="dot" w:pos="8495"/>
        </w:tabs>
        <w:rPr>
          <w:noProof/>
        </w:rPr>
      </w:pPr>
      <w:r>
        <w:t>2.3 Stage Two: Gamification, Octalysis and the An–Cheung Demonstration</w:t>
        <w:tab/>
        <w:t>13</w:t>
      </w:r>
    </w:p>
    <w:p w14:paraId="2DB55FA0" w14:textId="77777777" w:rsidR="00FD5D21" w:rsidRDefault="00FD5D21">
      <w:pPr>
        <w:pStyle w:val="TOC3"/>
        <w:tabs>
          <w:tab w:val="right" w:leader="dot" w:pos="8495"/>
        </w:tabs>
        <w:rPr>
          <w:noProof/>
        </w:rPr>
      </w:pPr>
      <w:r>
        <w:t>2.3.1 Defining Gamification</w:t>
        <w:tab/>
        <w:t>13</w:t>
      </w:r>
    </w:p>
    <w:p w14:paraId="22224FA0" w14:textId="77777777" w:rsidR="00FD5D21" w:rsidRDefault="00FD5D21">
      <w:pPr>
        <w:pStyle w:val="TOC3"/>
        <w:tabs>
          <w:tab w:val="right" w:leader="dot" w:pos="8495"/>
        </w:tabs>
        <w:rPr>
          <w:noProof/>
        </w:rPr>
      </w:pPr>
      <w:r>
        <w:t>2.3.2 The Octalysis Framework</w:t>
        <w:tab/>
        <w:t>14</w:t>
      </w:r>
    </w:p>
    <w:p w14:paraId="19556014" w14:textId="77777777" w:rsidR="00FD5D21" w:rsidRDefault="00FD5D21">
      <w:pPr>
        <w:pStyle w:val="TOC3"/>
        <w:tabs>
          <w:tab w:val="right" w:leader="dot" w:pos="8495"/>
        </w:tabs>
        <w:rPr>
          <w:noProof/>
        </w:rPr>
      </w:pPr>
      <w:r>
        <w:t>2.3.3 An, Cheung and Willoughby (2024): Evidence for TAM-STAM-Octalysis in Elderly Gamification</w:t>
        <w:tab/>
        <w:t>14</w:t>
      </w:r>
    </w:p>
    <w:p w14:paraId="7B53A685" w14:textId="77777777" w:rsidR="00FD5D21" w:rsidRDefault="00FD5D21">
      <w:pPr>
        <w:pStyle w:val="TOC3"/>
        <w:tabs>
          <w:tab w:val="right" w:leader="dot" w:pos="8495"/>
        </w:tabs>
        <w:rPr>
          <w:noProof/>
        </w:rPr>
      </w:pPr>
      <w:r>
        <w:t>2.3.4 The Boundary: When the Technology is Attached to FRA</w:t>
        <w:tab/>
        <w:t>14</w:t>
      </w:r>
    </w:p>
    <w:p>
      <w:pPr>
        <w:pStyle w:val="TOC3"/>
      </w:pPr>
      <w:r>
        <w:t>2.3.5 The Null Hypothesis Built From Stages One and Two</w:t>
      </w:r>
    </w:p>
    <w:p w14:paraId="5328328D" w14:textId="77777777" w:rsidR="00FD5D21" w:rsidRDefault="00FD5D21">
      <w:pPr>
        <w:pStyle w:val="TOC2"/>
        <w:tabs>
          <w:tab w:val="right" w:leader="dot" w:pos="8495"/>
        </w:tabs>
        <w:rPr>
          <w:noProof/>
        </w:rPr>
      </w:pPr>
      <w:r>
        <w:t>2.4 Stage Three: Self-Efficacy as the First Diagnostic Layer</w:t>
        <w:tab/>
        <w:t>15</w:t>
      </w:r>
    </w:p>
    <w:p w14:paraId="48283D30" w14:textId="77777777" w:rsidR="00FD5D21" w:rsidRDefault="00FD5D21">
      <w:pPr>
        <w:pStyle w:val="TOC3"/>
        <w:tabs>
          <w:tab w:val="right" w:leader="dot" w:pos="8495"/>
        </w:tabs>
        <w:rPr>
          <w:noProof/>
        </w:rPr>
      </w:pPr>
      <w:r>
        <w:t>2.4.1 Bandura's Self-Efficacy</w:t>
        <w:tab/>
        <w:t>15</w:t>
      </w:r>
    </w:p>
    <w:p w14:paraId="4AC03ED7" w14:textId="77777777" w:rsidR="00FD5D21" w:rsidRDefault="00FD5D21">
      <w:pPr>
        <w:pStyle w:val="TOC3"/>
        <w:tabs>
          <w:tab w:val="right" w:leader="dot" w:pos="8495"/>
        </w:tabs>
        <w:rPr>
          <w:noProof/>
        </w:rPr>
      </w:pPr>
      <w:r>
        <w:t>2.4.2 Computer Self-Efficacy Among Older Adults</w:t>
        <w:tab/>
        <w:t>15</w:t>
      </w:r>
    </w:p>
    <w:p w14:paraId="4C37A73B" w14:textId="77777777" w:rsidR="00FD5D21" w:rsidRDefault="00FD5D21">
      <w:pPr>
        <w:pStyle w:val="TOC3"/>
        <w:tabs>
          <w:tab w:val="right" w:leader="dot" w:pos="8495"/>
        </w:tabs>
        <w:rPr>
          <w:noProof/>
        </w:rPr>
      </w:pPr>
      <w:r>
        <w:t>2.4.3 The Fear-and-Failure Cycle</w:t>
        <w:tab/>
        <w:t>16</w:t>
      </w:r>
    </w:p>
    <w:p w14:paraId="0E175635" w14:textId="77777777" w:rsidR="00FD5D21" w:rsidRDefault="00FD5D21">
      <w:pPr>
        <w:pStyle w:val="TOC3"/>
        <w:tabs>
          <w:tab w:val="right" w:leader="dot" w:pos="8495"/>
        </w:tabs>
        <w:rPr>
          <w:noProof/>
        </w:rPr>
      </w:pPr>
      <w:r>
        <w:t>2.4.4 What Self-Efficacy Explains and What It Does Not</w:t>
        <w:tab/>
        <w:t>16</w:t>
      </w:r>
    </w:p>
    <w:p w14:paraId="3052E594" w14:textId="77777777" w:rsidR="00FD5D21" w:rsidRDefault="00FD5D21">
      <w:pPr>
        <w:pStyle w:val="TOC2"/>
        <w:tabs>
          <w:tab w:val="right" w:leader="dot" w:pos="8495"/>
        </w:tabs>
        <w:rPr>
          <w:noProof/>
        </w:rPr>
      </w:pPr>
      <w:r>
        <w:t>2.5 Stage Four: Behavioural Science as a Candidate FIAS Account</w:t>
        <w:tab/>
        <w:t>16</w:t>
      </w:r>
    </w:p>
    <w:p w14:paraId="773E2CB0" w14:textId="77777777" w:rsidR="00FD5D21" w:rsidRDefault="00FD5D21">
      <w:pPr>
        <w:pStyle w:val="TOC3"/>
        <w:tabs>
          <w:tab w:val="right" w:leader="dot" w:pos="8495"/>
        </w:tabs>
        <w:rPr>
          <w:noProof/>
        </w:rPr>
      </w:pPr>
      <w:r>
        <w:t>2.5.1 Why Behavioural Science Is Required</w:t>
        <w:tab/>
        <w:t>16</w:t>
      </w:r>
    </w:p>
    <w:p w14:paraId="2745588C" w14:textId="77777777" w:rsidR="00FD5D21" w:rsidRDefault="00FD5D21">
      <w:pPr>
        <w:pStyle w:val="TOC3"/>
        <w:tabs>
          <w:tab w:val="right" w:leader="dot" w:pos="8495"/>
        </w:tabs>
        <w:rPr>
          <w:noProof/>
        </w:rPr>
      </w:pPr>
      <w:r>
        <w:t>2.5.2 Prospect Theory and Loss Aversion</w:t>
        <w:tab/>
        <w:t>17</w:t>
      </w:r>
    </w:p>
    <w:p w14:paraId="2A62A909" w14:textId="77777777" w:rsidR="00FD5D21" w:rsidRDefault="00FD5D21">
      <w:pPr>
        <w:pStyle w:val="TOC3"/>
        <w:tabs>
          <w:tab w:val="right" w:leader="dot" w:pos="8495"/>
        </w:tabs>
        <w:rPr>
          <w:noProof/>
        </w:rPr>
      </w:pPr>
      <w:r>
        <w:t>2.5.3 The Endowment Effect on Identity-Level Assets</w:t>
        <w:tab/>
        <w:t>17</w:t>
      </w:r>
    </w:p>
    <w:p w14:paraId="25FB7E43" w14:textId="77777777" w:rsidR="00FD5D21" w:rsidRDefault="00FD5D21">
      <w:pPr>
        <w:pStyle w:val="TOC3"/>
        <w:tabs>
          <w:tab w:val="right" w:leader="dot" w:pos="8495"/>
        </w:tabs>
        <w:rPr>
          <w:noProof/>
        </w:rPr>
      </w:pPr>
      <w:r>
        <w:t>2.5.4 Mental Accounting of Health Outcomes</w:t>
        <w:tab/>
        <w:t>17</w:t>
      </w:r>
    </w:p>
    <w:p w14:paraId="3C278876" w14:textId="77777777" w:rsidR="00FD5D21" w:rsidRDefault="00FD5D21">
      <w:pPr>
        <w:pStyle w:val="TOC3"/>
        <w:tabs>
          <w:tab w:val="right" w:leader="dot" w:pos="8495"/>
        </w:tabs>
        <w:rPr>
          <w:noProof/>
        </w:rPr>
      </w:pPr>
      <w:r>
        <w:t>2.5.5 Stereotype Threat as the Trigger</w:t>
        <w:tab/>
        <w:t>18</w:t>
      </w:r>
    </w:p>
    <w:p w14:paraId="53AAF294" w14:textId="77777777" w:rsidR="00FD5D21" w:rsidRDefault="00FD5D21">
      <w:pPr>
        <w:pStyle w:val="TOC3"/>
        <w:tabs>
          <w:tab w:val="right" w:leader="dot" w:pos="8495"/>
        </w:tabs>
        <w:rPr>
          <w:noProof/>
        </w:rPr>
      </w:pPr>
      <w:r>
        <w:t>2.5.6 A Four-Layer Behavioural Integration Proposed for FIAS</w:t>
        <w:tab/>
        <w:t>18</w:t>
      </w:r>
    </w:p>
    <w:p w14:paraId="6028FE31" w14:textId="77777777" w:rsidR="00FD5D21" w:rsidRDefault="00FD5D21">
      <w:pPr>
        <w:pStyle w:val="TOC2"/>
        <w:tabs>
          <w:tab w:val="right" w:leader="dot" w:pos="8495"/>
        </w:tabs>
        <w:rPr>
          <w:noProof/>
        </w:rPr>
      </w:pPr>
      <w:r>
        <w:t>2.6 Stage Five: Positioning Decoupled Gameplay and Adaptive Learning as Design Responses</w:t>
        <w:tab/>
        <w:t>19</w:t>
      </w:r>
    </w:p>
    <w:p w14:paraId="1FAC8342" w14:textId="77777777" w:rsidR="00FD5D21" w:rsidRDefault="00FD5D21">
      <w:pPr>
        <w:pStyle w:val="TOC3"/>
        <w:tabs>
          <w:tab w:val="right" w:leader="dot" w:pos="8495"/>
        </w:tabs>
        <w:rPr>
          <w:noProof/>
        </w:rPr>
      </w:pPr>
      <w:r>
        <w:t>2.6.1 The Question Stage Four Leaves Open</w:t>
        <w:tab/>
        <w:t>19</w:t>
      </w:r>
    </w:p>
    <w:p w14:paraId="38342C35" w14:textId="77777777" w:rsidR="00FD5D21" w:rsidRDefault="00FD5D21">
      <w:pPr>
        <w:pStyle w:val="TOC3"/>
        <w:tabs>
          <w:tab w:val="right" w:leader="dot" w:pos="8495"/>
        </w:tabs>
        <w:rPr>
          <w:noProof/>
        </w:rPr>
      </w:pPr>
      <w:r>
        <w:t>2.6.2 Productive Failure and Adaptive Learning</w:t>
        <w:tab/>
        <w:t>19</w:t>
      </w:r>
    </w:p>
    <w:p w14:paraId="4490ADB1" w14:textId="77777777" w:rsidR="00FD5D21" w:rsidRDefault="00FD5D21">
      <w:pPr>
        <w:pStyle w:val="TOC3"/>
        <w:tabs>
          <w:tab w:val="right" w:leader="dot" w:pos="8495"/>
        </w:tabs>
        <w:rPr>
          <w:noProof/>
        </w:rPr>
      </w:pPr>
      <w:r>
        <w:t>2.6.2A The Theoretical Lineage of Adaptive Learning</w:t>
        <w:tab/>
        <w:t>19</w:t>
      </w:r>
    </w:p>
    <w:p w14:paraId="7D64413B" w14:textId="77777777" w:rsidR="00FD5D21" w:rsidRDefault="00FD5D21">
      <w:pPr>
        <w:pStyle w:val="TOC3"/>
        <w:tabs>
          <w:tab w:val="right" w:leader="dot" w:pos="8495"/>
        </w:tabs>
        <w:rPr>
          <w:noProof/>
        </w:rPr>
      </w:pPr>
      <w:r>
        <w:t>2.6.2B Self-Determination Theory and Goal-Setting as Motivational Scaffolding</w:t>
        <w:tab/>
        <w:t>20</w:t>
      </w:r>
    </w:p>
    <w:p>
      <w:pPr>
        <w:pStyle w:val="TOC3"/>
      </w:pPr>
      <w:r>
        <w:t>2.6.2C Zero-Failure Design: A Research-Generated Concept That Inverts Octalysis D8</w:t>
      </w:r>
    </w:p>
    <w:p w14:paraId="0A275DC9" w14:textId="77777777" w:rsidR="00FD5D21" w:rsidRDefault="00FD5D21">
      <w:pPr>
        <w:pStyle w:val="TOC3"/>
        <w:tabs>
          <w:tab w:val="right" w:leader="dot" w:pos="8495"/>
        </w:tabs>
        <w:rPr>
          <w:noProof/>
        </w:rPr>
      </w:pPr>
      <w:r>
        <w:t>2.6.3 Endowment-Protective and Learning-Trajectory Appraisals as Competing Regimes</w:t>
        <w:tab/>
        <w:t>21</w:t>
      </w:r>
    </w:p>
    <w:p w14:paraId="2345AA55" w14:textId="77777777" w:rsidR="00FD5D21" w:rsidRDefault="00FD5D21">
      <w:pPr>
        <w:pStyle w:val="TOC3"/>
        <w:tabs>
          <w:tab w:val="right" w:leader="dot" w:pos="8495"/>
        </w:tabs>
        <w:rPr>
          <w:noProof/>
        </w:rPr>
      </w:pPr>
      <w:r>
        <w:lastRenderedPageBreak/>
        <w:t>2.6.4 Why Decoupled Gameplay Is a Critical but Non-Definitive Empirical Test</w:t>
        <w:tab/>
        <w:t>21</w:t>
      </w:r>
    </w:p>
    <w:p w14:paraId="42A44F34" w14:textId="77777777" w:rsidR="00FD5D21" w:rsidRDefault="00FD5D21">
      <w:pPr>
        <w:pStyle w:val="TOC2"/>
        <w:tabs>
          <w:tab w:val="right" w:leader="dot" w:pos="8495"/>
        </w:tabs>
        <w:rPr>
          <w:noProof/>
        </w:rPr>
      </w:pPr>
      <w:r>
        <w:t>2.7 Supporting Evidence and Adjacent Frameworks</w:t>
        <w:tab/>
        <w:t>22</w:t>
      </w:r>
    </w:p>
    <w:p w14:paraId="347F4CF1" w14:textId="77777777" w:rsidR="00FD5D21" w:rsidRDefault="00FD5D21">
      <w:pPr>
        <w:pStyle w:val="TOC3"/>
        <w:tabs>
          <w:tab w:val="right" w:leader="dot" w:pos="8495"/>
        </w:tabs>
        <w:rPr>
          <w:noProof/>
        </w:rPr>
      </w:pPr>
      <w:r>
        <w:t>2.7.1 Gamification for Older Adults: The Koivisto and Malik Review</w:t>
        <w:tab/>
        <w:t>22</w:t>
      </w:r>
    </w:p>
    <w:p w14:paraId="12B7853B" w14:textId="77777777" w:rsidR="00FD5D21" w:rsidRDefault="00FD5D21">
      <w:pPr>
        <w:pStyle w:val="TOC3"/>
        <w:tabs>
          <w:tab w:val="right" w:leader="dot" w:pos="8495"/>
        </w:tabs>
        <w:rPr>
          <w:noProof/>
        </w:rPr>
      </w:pPr>
      <w:r>
        <w:t>2.7.2 The NASSS Framework: Documented Abandonment Without a Mechanism</w:t>
        <w:tab/>
        <w:t>22</w:t>
      </w:r>
    </w:p>
    <w:p w14:paraId="257EED72" w14:textId="77777777" w:rsidR="00FD5D21" w:rsidRDefault="00FD5D21">
      <w:pPr>
        <w:pStyle w:val="TOC3"/>
        <w:tabs>
          <w:tab w:val="right" w:leader="dot" w:pos="8495"/>
        </w:tabs>
        <w:rPr>
          <w:noProof/>
        </w:rPr>
      </w:pPr>
      <w:r>
        <w:t>2.7.3 Cross-Cultural Reference: The Korean Comparison</w:t>
        <w:tab/>
        <w:t>23</w:t>
      </w:r>
    </w:p>
    <w:p w14:paraId="1167ED0F" w14:textId="77777777" w:rsidR="00FD5D21" w:rsidRDefault="00FD5D21">
      <w:pPr>
        <w:pStyle w:val="TOC3"/>
        <w:tabs>
          <w:tab w:val="right" w:leader="dot" w:pos="8495"/>
        </w:tabs>
        <w:rPr>
          <w:noProof/>
        </w:rPr>
      </w:pPr>
      <w:r>
        <w:t>2.7.4 Information Entropy as a Bridge Lens</w:t>
        <w:tab/>
        <w:t>23</w:t>
      </w:r>
    </w:p>
    <w:p w14:paraId="5AFE063B" w14:textId="77777777" w:rsidR="00FD5D21" w:rsidRDefault="00FD5D21">
      <w:pPr>
        <w:pStyle w:val="TOC2"/>
        <w:tabs>
          <w:tab w:val="right" w:leader="dot" w:pos="8495"/>
        </w:tabs>
        <w:rPr>
          <w:noProof/>
        </w:rPr>
      </w:pPr>
      <w:r>
        <w:t>2.8 Synthesis: The Five-Stage Transformative Argument</w:t>
        <w:tab/>
        <w:t>23</w:t>
      </w:r>
    </w:p>
    <w:p w14:paraId="5E41DE99" w14:textId="77777777" w:rsidR="00FD5D21" w:rsidRDefault="00FD5D21">
      <w:pPr>
        <w:pStyle w:val="TOC1"/>
        <w:tabs>
          <w:tab w:val="right" w:leader="dot" w:pos="8495"/>
        </w:tabs>
        <w:rPr>
          <w:noProof/>
        </w:rPr>
      </w:pPr>
      <w:r>
        <w:t>Chapter 3 Research Methodology</w:t>
        <w:tab/>
        <w:t>25</w:t>
      </w:r>
    </w:p>
    <w:p w14:paraId="20057345" w14:textId="77777777" w:rsidR="00FD5D21" w:rsidRDefault="00FD5D21">
      <w:pPr>
        <w:pStyle w:val="TOC2"/>
        <w:tabs>
          <w:tab w:val="right" w:leader="dot" w:pos="8495"/>
        </w:tabs>
        <w:rPr>
          <w:noProof/>
        </w:rPr>
      </w:pPr>
      <w:r>
        <w:t>3.1 Action Research as the Methodological Frame</w:t>
        <w:tab/>
        <w:t>25</w:t>
      </w:r>
    </w:p>
    <w:p w14:paraId="0C23CFD3" w14:textId="77777777" w:rsidR="00FD5D21" w:rsidRDefault="00FD5D21">
      <w:pPr>
        <w:pStyle w:val="TOC2"/>
        <w:tabs>
          <w:tab w:val="right" w:leader="dot" w:pos="8495"/>
        </w:tabs>
        <w:rPr>
          <w:noProof/>
        </w:rPr>
      </w:pPr>
      <w:r>
        <w:t>3.2 Three-Stage Design</w:t>
        <w:tab/>
        <w:t>25</w:t>
      </w:r>
    </w:p>
    <w:p w14:paraId="54E87624" w14:textId="77777777" w:rsidR="00FD5D21" w:rsidRDefault="00FD5D21">
      <w:pPr>
        <w:pStyle w:val="TOC2"/>
        <w:tabs>
          <w:tab w:val="right" w:leader="dot" w:pos="8495"/>
        </w:tabs>
        <w:rPr>
          <w:noProof/>
        </w:rPr>
      </w:pPr>
      <w:r>
        <w:t>3.3 Methodology Overview Infographic</w:t>
        <w:tab/>
        <w:t>26</w:t>
      </w:r>
    </w:p>
    <w:p w14:paraId="75092E86" w14:textId="77777777" w:rsidR="00FD5D21" w:rsidRDefault="00FD5D21">
      <w:pPr>
        <w:pStyle w:val="TOC2"/>
        <w:tabs>
          <w:tab w:val="right" w:leader="dot" w:pos="8495"/>
        </w:tabs>
        <w:rPr>
          <w:noProof/>
        </w:rPr>
      </w:pPr>
      <w:r>
        <w:t>3.4 Ethics, Consent, Data Governance</w:t>
        <w:tab/>
        <w:t>26</w:t>
      </w:r>
    </w:p>
    <w:p w14:paraId="7C4AB6A6" w14:textId="77777777" w:rsidR="00FD5D21" w:rsidRDefault="00FD5D21">
      <w:pPr>
        <w:pStyle w:val="TOC2"/>
        <w:tabs>
          <w:tab w:val="right" w:leader="dot" w:pos="8495"/>
        </w:tabs>
        <w:rPr>
          <w:noProof/>
        </w:rPr>
      </w:pPr>
      <w:r>
        <w:t>3.5 Methodological Limits and Mitigations</w:t>
        <w:tab/>
        <w:t>27</w:t>
      </w:r>
    </w:p>
    <w:p w14:paraId="594DF4C4" w14:textId="77777777" w:rsidR="00FD5D21" w:rsidRDefault="00FD5D21">
      <w:pPr>
        <w:pStyle w:val="TOC2"/>
        <w:tabs>
          <w:tab w:val="right" w:leader="dot" w:pos="8495"/>
        </w:tabs>
        <w:rPr>
          <w:noProof/>
        </w:rPr>
      </w:pPr>
      <w:r>
        <w:t>3.6 An Instrumentation Roadmap for the Adaptive-Learning Claim</w:t>
        <w:tab/>
        <w:t>27</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4 Stage 1 — From FIDS to FIAS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4.1 Purpose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4.1A What is Fall Risk Assessment (FRA)? Basic System Design and Features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4.2 The Guangzhou Survey (N = 200 of 280 Residents)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4.3 TAM, STAM and the Limitation for Retired Users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4.4 Octalysis and the In-Game Loss Assumption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4.5 Behavioural Science Lenses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4.6 Terminological Correction: FIDS to FIAS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4.7 Cross-Cultural Reference Point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4.8 Output and Stage-1 Limitations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34</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5 Stage 2 — Action Research with Gamified FRA</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5.1 Research Questions and Hypotheses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5.2 Setting and Action-Research Approach</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5.2A Integrating the FRA into the Skiing Game: The Dual-Purpose Mechanic in Detail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5.3 The Gamified Intervention — Skiing Game on the InBody Pressure Panel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39</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5.3.1 The InBody Pressure Panel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5.3.2 Game Concept and Gameplay Loop</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5.3.3 On-Screen Display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5.3.4 Five-Layer Architecture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5.3.5 Automatic Difficulty Adjustment System</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42</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5.3.6 Data Structures and Telemetry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43</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5.3.7 Sample User Profile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43</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5.3.8 Why a Skiing Game?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5.3.9 Development Methodology: The Claude Code-Assisted Workflow</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5.3.10 Dynamic Game States: An Agentic-AI-Driven, Loss-Free Game Mechanic (Secondary Contribution)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5.4 Participants and Data Governance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5.5 Quantitative Findings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5.6 The F4 Cluster and the Objective-Score-Improvement/Non-Return Paradox</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50</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5.7 Theoretical Extension: Endowment, Stereotype Threat, Domain Reframing</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5.8 Information-Entropy Lens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5.9 Limitations and What Stage 2 Establishes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52</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6 Stage 3 — Participant-Facing Decoupling: Between-Cohort Evidence for a Frame-Sensitive Account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 Why a Decoupling Stage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6.2 Research Question and Predictions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6.3 Methodology: A Participant-Facing Decoupling Package in a Separate Cohort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6.4 Participants and Apparatus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6.5 Findings: A Substantial Behavioural Shift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6.6 The Objective-Score-Improvement/Non-Return Paradox Reconsidered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57</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6.7 Frame-Sensitive versus Dispositional Accounts: Calibrated Inference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6.8 The Commitment Gap and Its Design Implication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58</w:t>
      </w:r>
    </w:p>
    <w:p>
      <w:pPr>
        <w:pStyle w:val="TOC2"/>
      </w:pPr>
      <w:r>
        <w:rPr>
          <w:szCs w:val="22"/>
          <w:lang w:val="en-US" w:eastAsia="en-US" w:bidi="ar-SA"/>
          <w:rFonts w:ascii="Times New Roman" w:hAnsi="Times New Roman" w:eastAsia="Times New Roman" w:cs="Times New Roman"/>
          <w:sz w:val="24"/>
        </w:rPr>
        <w:t>6.8A The Commitment Gap Read Through Group Dynamics: An Expert Consultation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6.9 Limitations of Stage 3</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6.10 Quantitative Comparison Against Existing Models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6.10.1 Three-Tier Nested Model Specification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6.10.2 Statistical Comparison Plan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6.10.3 Decision-Curve Analysis and Practical Significance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6.10.4 Pre-Specified Predictions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6.10.5 Provisional Estimates from the Existing Datasets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6.11 Consolidated Statistical Results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62</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7 Discussion: Adaptive Learning as the Behavioural-Change Driver</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64</w:t>
      </w:r>
    </w:p>
    <w:p w14:paraId="5427D174" w14:textId="77777777" w:rsidR="00FD5D21" w:rsidRDefault="00FD5D21">
      <w:pPr>
        <w:pStyle w:val="TOC2"/>
        <w:tabs>
          <w:tab w:val="right" w:leader="dot" w:pos="8495"/>
        </w:tabs>
        <w:rPr>
          <w:noProof/>
        </w:rPr>
      </w:pPr>
      <w:r>
        <w:t>7.1 Why the Empirical Programme Forces Adaptive Learning</w:t>
        <w:tab/>
        <w:t>64</w:t>
      </w:r>
    </w:p>
    <w:p w14:paraId="169B3B1D" w14:textId="77777777" w:rsidR="00FD5D21" w:rsidRDefault="00FD5D21">
      <w:pPr>
        <w:pStyle w:val="TOC2"/>
        <w:tabs>
          <w:tab w:val="right" w:leader="dot" w:pos="8495"/>
        </w:tabs>
        <w:rPr>
          <w:noProof/>
        </w:rPr>
      </w:pPr>
      <w:r>
        <w:t>7.2 Adaptive Learning in the Gamification Literature</w:t>
        <w:tab/>
        <w:t>64</w:t>
      </w:r>
    </w:p>
    <w:p w14:paraId="5C37978F" w14:textId="77777777" w:rsidR="00FD5D21" w:rsidRDefault="00FD5D21">
      <w:pPr>
        <w:pStyle w:val="TOC2"/>
        <w:tabs>
          <w:tab w:val="right" w:leader="dot" w:pos="8495"/>
        </w:tabs>
        <w:rPr>
          <w:noProof/>
        </w:rPr>
      </w:pPr>
      <w:r>
        <w:t>7.3 Endowment-Protective and Learning-Trajectory Appraisals as Competing Design Regimes</w:t>
        <w:tab/>
        <w:t>65</w:t>
      </w:r>
    </w:p>
    <w:p w14:paraId="5BBE227D" w14:textId="77777777" w:rsidR="00FD5D21" w:rsidRDefault="00FD5D21">
      <w:pPr>
        <w:pStyle w:val="TOC2"/>
        <w:tabs>
          <w:tab w:val="right" w:leader="dot" w:pos="8495"/>
        </w:tabs>
        <w:rPr>
          <w:noProof/>
        </w:rPr>
      </w:pPr>
      <w:r>
        <w:t>7.4 Formalising the Discovery: The Adaptive-Learning Framework</w:t>
        <w:tab/>
        <w:t>65</w:t>
      </w:r>
    </w:p>
    <w:p w14:paraId="283DF193" w14:textId="77777777" w:rsidR="00FD5D21" w:rsidRDefault="00FD5D21">
      <w:pPr>
        <w:pStyle w:val="TOC2"/>
        <w:tabs>
          <w:tab w:val="right" w:leader="dot" w:pos="8495"/>
        </w:tabs>
        <w:rPr>
          <w:noProof/>
        </w:rPr>
      </w:pPr>
      <w:r>
        <w:t>7.5 Prototype Stack: Engineering-Actionable Implementation</w:t>
        <w:tab/>
        <w:t>66</w:t>
      </w:r>
    </w:p>
    <w:p w14:paraId="6B6957E9" w14:textId="77777777" w:rsidR="00FD5D21" w:rsidRDefault="00FD5D21">
      <w:pPr>
        <w:pStyle w:val="TOC3"/>
        <w:tabs>
          <w:tab w:val="right" w:leader="dot" w:pos="8495"/>
        </w:tabs>
        <w:rPr>
          <w:noProof/>
        </w:rPr>
      </w:pPr>
      <w:r>
        <w:t>7.5.1 Reference Stack</w:t>
        <w:tab/>
        <w:t>66</w:t>
      </w:r>
    </w:p>
    <w:p w14:paraId="435E78BC" w14:textId="77777777" w:rsidR="00FD5D21" w:rsidRDefault="00FD5D21">
      <w:pPr>
        <w:pStyle w:val="TOC3"/>
        <w:tabs>
          <w:tab w:val="right" w:leader="dot" w:pos="8495"/>
        </w:tabs>
        <w:rPr>
          <w:noProof/>
        </w:rPr>
      </w:pPr>
      <w:r>
        <w:t>7.5.2 Trajectory Visualisation Specification</w:t>
        <w:tab/>
        <w:t>68</w:t>
      </w:r>
    </w:p>
    <w:p w14:paraId="1A4A9E23" w14:textId="77777777" w:rsidR="00FD5D21" w:rsidRDefault="00FD5D21">
      <w:pPr>
        <w:pStyle w:val="TOC3"/>
        <w:tabs>
          <w:tab w:val="right" w:leader="dot" w:pos="8495"/>
        </w:tabs>
        <w:rPr>
          <w:noProof/>
        </w:rPr>
      </w:pPr>
      <w:r>
        <w:t>7.5.3 Coaching Protocol Specification</w:t>
        <w:tab/>
        <w:t>68</w:t>
      </w:r>
    </w:p>
    <w:p>
      <w:pPr>
        <w:pStyle w:val="TOC2"/>
      </w:pPr>
      <w:r>
        <w:t>7.5A One Architecture: Phenomenon, Principles, Engine</w:t>
        <w:tab/>
        <w:t>69</w:t>
      </w:r>
    </w:p>
    <w:p w14:paraId="3BA17663" w14:textId="77777777" w:rsidR="00FD5D21" w:rsidRDefault="00FD5D21">
      <w:pPr>
        <w:pStyle w:val="TOC2"/>
        <w:tabs>
          <w:tab w:val="right" w:leader="dot" w:pos="8495"/>
        </w:tabs>
        <w:rPr>
          <w:noProof/>
        </w:rPr>
      </w:pPr>
      <w:r>
        <w:t>7.6 Applied Case Studies</w:t>
        <w:tab/>
        <w:t>69</w:t>
      </w:r>
    </w:p>
    <w:p w14:paraId="3C478D5B" w14:textId="77777777" w:rsidR="00FD5D21" w:rsidRDefault="00FD5D21">
      <w:pPr>
        <w:pStyle w:val="TOC3"/>
        <w:tabs>
          <w:tab w:val="right" w:leader="dot" w:pos="8495"/>
        </w:tabs>
        <w:rPr>
          <w:noProof/>
        </w:rPr>
      </w:pPr>
      <w:r>
        <w:t>7.6.1 Case Study A — FRA Reaction Mode (in development)</w:t>
        <w:tab/>
        <w:t>69</w:t>
      </w:r>
    </w:p>
    <w:p w14:paraId="2006AA49" w14:textId="77777777" w:rsidR="00FD5D21" w:rsidRDefault="00FD5D21">
      <w:pPr>
        <w:pStyle w:val="TOC3"/>
        <w:tabs>
          <w:tab w:val="right" w:leader="dot" w:pos="8495"/>
        </w:tabs>
        <w:rPr>
          <w:noProof/>
        </w:rPr>
      </w:pPr>
      <w:r>
        <w:t>7.6.2 Case Study B — Continuous Glucose Monitoring (CGM) reframed as a Streak Companion (illustrative)</w:t>
        <w:tab/>
        <w:t>69</w:t>
      </w:r>
    </w:p>
    <w:p w14:paraId="3ABF7E46" w14:textId="77777777" w:rsidR="00FD5D21" w:rsidRDefault="00FD5D21">
      <w:pPr>
        <w:pStyle w:val="TOC3"/>
        <w:tabs>
          <w:tab w:val="right" w:leader="dot" w:pos="8495"/>
        </w:tabs>
        <w:rPr>
          <w:noProof/>
        </w:rPr>
      </w:pPr>
      <w:r>
        <w:t>7.6.3 Case Study C — Sleep Tracker reframed as an Adventure Log (illustrative)</w:t>
        <w:tab/>
        <w:t>69</w:t>
      </w:r>
    </w:p>
    <w:p w14:paraId="5F5C0F68" w14:textId="77777777" w:rsidR="00FD5D21" w:rsidRDefault="00FD5D21">
      <w:pPr>
        <w:pStyle w:val="TOC3"/>
        <w:tabs>
          <w:tab w:val="right" w:leader="dot" w:pos="8495"/>
        </w:tabs>
        <w:rPr>
          <w:noProof/>
        </w:rPr>
      </w:pPr>
      <w:r>
        <w:t>7.6.4 Cross-Case Synthesis</w:t>
        <w:tab/>
        <w:t>70</w:t>
      </w:r>
    </w:p>
    <w:p w14:paraId="69C7E9A9" w14:textId="77777777" w:rsidR="00FD5D21" w:rsidRDefault="00FD5D21">
      <w:pPr>
        <w:pStyle w:val="TOC2"/>
        <w:tabs>
          <w:tab w:val="right" w:leader="dot" w:pos="8495"/>
        </w:tabs>
        <w:rPr>
          <w:noProof/>
        </w:rPr>
      </w:pPr>
      <w:r>
        <w:lastRenderedPageBreak/>
        <w:t>7.6A Dynamic Game States as a Loss-Free Mechanic: Reflecting the Literature-Review Knowledge Gaps</w:t>
        <w:tab/>
        <w:t>70</w:t>
      </w:r>
    </w:p>
    <w:p w14:paraId="355BF347" w14:textId="77777777" w:rsidR="00FD5D21" w:rsidRDefault="00FD5D21">
      <w:pPr>
        <w:pStyle w:val="TOC2"/>
        <w:tabs>
          <w:tab w:val="right" w:leader="dot" w:pos="8495"/>
        </w:tabs>
        <w:rPr>
          <w:noProof/>
        </w:rPr>
      </w:pPr>
      <w:r>
        <w:t>7.7 Boundary Conditions and Risks</w:t>
        <w:tab/>
        <w:t>71</w:t>
      </w:r>
    </w:p>
    <w:p w14:paraId="2390C070" w14:textId="77777777" w:rsidR="00FD5D21" w:rsidRDefault="00FD5D21">
      <w:pPr>
        <w:pStyle w:val="TOC2"/>
        <w:tabs>
          <w:tab w:val="right" w:leader="dot" w:pos="8495"/>
        </w:tabs>
        <w:rPr>
          <w:noProof/>
        </w:rPr>
      </w:pPr>
      <w:r>
        <w:t>7.8 Sequencing of the Three Principles</w:t>
        <w:tab/>
        <w:t>72</w:t>
      </w:r>
    </w:p>
    <w:p w14:paraId="033353C5" w14:textId="77777777" w:rsidR="00FD5D21" w:rsidRDefault="00FD5D21">
      <w:pPr>
        <w:pStyle w:val="TOC2"/>
        <w:tabs>
          <w:tab w:val="right" w:leader="dot" w:pos="8495"/>
        </w:tabs>
        <w:rPr>
          <w:noProof/>
        </w:rPr>
      </w:pPr>
      <w:r>
        <w:t>7.9 Adaptive Learning as Continuous Improvement: Closing the Loop to the EngD Topic</w:t>
        <w:tab/>
        <w:t>72</w:t>
      </w:r>
    </w:p>
    <w:p w14:paraId="63216031" w14:textId="77777777" w:rsidR="00FD5D21" w:rsidRDefault="00FD5D21">
      <w:pPr>
        <w:pStyle w:val="TOC1"/>
        <w:tabs>
          <w:tab w:val="right" w:leader="dot" w:pos="8495"/>
        </w:tabs>
        <w:rPr>
          <w:noProof/>
        </w:rPr>
      </w:pPr>
      <w:r>
        <w:t>Chapter 8 Contributions, Alternative Explanations, Limitations and Ethics</w:t>
        <w:tab/>
        <w:t>74</w:t>
      </w:r>
    </w:p>
    <w:p w14:paraId="1274176A" w14:textId="77777777" w:rsidR="00FD5D21" w:rsidRDefault="00FD5D21">
      <w:pPr>
        <w:pStyle w:val="TOC2"/>
        <w:tabs>
          <w:tab w:val="right" w:leader="dot" w:pos="8495"/>
        </w:tabs>
        <w:rPr>
          <w:noProof/>
        </w:rPr>
      </w:pPr>
      <w:r>
        <w:t>8.1 Theoretical Contributions</w:t>
        <w:tab/>
        <w:t>74</w:t>
      </w:r>
    </w:p>
    <w:p w14:paraId="0AB2FF4C" w14:textId="77777777" w:rsidR="00FD5D21" w:rsidRDefault="00FD5D21">
      <w:pPr>
        <w:pStyle w:val="TOC2"/>
        <w:tabs>
          <w:tab w:val="right" w:leader="dot" w:pos="8495"/>
        </w:tabs>
        <w:rPr>
          <w:noProof/>
        </w:rPr>
      </w:pPr>
      <w:r>
        <w:t>8.2 Methodological Contributions</w:t>
        <w:tab/>
        <w:t>74</w:t>
      </w:r>
    </w:p>
    <w:p w14:paraId="0FF8CC85" w14:textId="77777777" w:rsidR="00FD5D21" w:rsidRDefault="00FD5D21">
      <w:pPr>
        <w:pStyle w:val="TOC2"/>
        <w:tabs>
          <w:tab w:val="right" w:leader="dot" w:pos="8495"/>
        </w:tabs>
        <w:rPr>
          <w:noProof/>
        </w:rPr>
      </w:pPr>
      <w:r>
        <w:t>8.3 Empirical Contributions</w:t>
        <w:tab/>
        <w:t>74</w:t>
      </w:r>
    </w:p>
    <w:p w14:paraId="56CACFD9" w14:textId="77777777" w:rsidR="00FD5D21" w:rsidRDefault="00FD5D21">
      <w:pPr>
        <w:pStyle w:val="TOC2"/>
        <w:tabs>
          <w:tab w:val="right" w:leader="dot" w:pos="8495"/>
        </w:tabs>
        <w:rPr>
          <w:noProof/>
        </w:rPr>
      </w:pPr>
      <w:r>
        <w:t>8.4 Industrial and Practical Contributions</w:t>
        <w:tab/>
        <w:t>75</w:t>
      </w:r>
    </w:p>
    <w:p w14:paraId="3D94A740" w14:textId="77777777" w:rsidR="00FD5D21" w:rsidRDefault="00FD5D21">
      <w:pPr>
        <w:pStyle w:val="TOC2"/>
        <w:tabs>
          <w:tab w:val="right" w:leader="dot" w:pos="8495"/>
        </w:tabs>
        <w:rPr>
          <w:noProof/>
        </w:rPr>
      </w:pPr>
      <w:r>
        <w:t>8.4A A Forward-Looking Contribution: The Language-Mode Boundary and Grounded Adaptive Learning</w:t>
        <w:tab/>
        <w:t>75</w:t>
      </w:r>
    </w:p>
    <w:p w14:paraId="0AE11FEA" w14:textId="77777777" w:rsidR="00FD5D21" w:rsidRDefault="00FD5D21">
      <w:pPr>
        <w:pStyle w:val="TOC2"/>
        <w:tabs>
          <w:tab w:val="right" w:leader="dot" w:pos="8495"/>
        </w:tabs>
        <w:rPr>
          <w:noProof/>
        </w:rPr>
      </w:pPr>
      <w:r>
        <w:t>8.5 Alternative Explanations</w:t>
        <w:tab/>
        <w:t>76</w:t>
      </w:r>
    </w:p>
    <w:p w14:paraId="7992096E" w14:textId="77777777" w:rsidR="00FD5D21" w:rsidRDefault="00FD5D21">
      <w:pPr>
        <w:pStyle w:val="TOC3"/>
        <w:tabs>
          <w:tab w:val="right" w:leader="dot" w:pos="8495"/>
        </w:tabs>
        <w:rPr>
          <w:noProof/>
        </w:rPr>
      </w:pPr>
      <w:r>
        <w:t>8.5.1 Cohort Self-Selection</w:t>
        <w:tab/>
        <w:t>76</w:t>
      </w:r>
    </w:p>
    <w:p w14:paraId="7280AE5A" w14:textId="77777777" w:rsidR="00FD5D21" w:rsidRDefault="00FD5D21">
      <w:pPr>
        <w:pStyle w:val="TOC3"/>
        <w:tabs>
          <w:tab w:val="right" w:leader="dot" w:pos="8495"/>
        </w:tabs>
        <w:rPr>
          <w:noProof/>
        </w:rPr>
      </w:pPr>
      <w:r>
        <w:t>8.5.2 Novelty Effect</w:t>
        <w:tab/>
        <w:t>76</w:t>
      </w:r>
    </w:p>
    <w:p w14:paraId="4DADBA64" w14:textId="77777777" w:rsidR="00FD5D21" w:rsidRDefault="00FD5D21">
      <w:pPr>
        <w:pStyle w:val="TOC3"/>
        <w:tabs>
          <w:tab w:val="right" w:leader="dot" w:pos="8495"/>
        </w:tabs>
        <w:rPr>
          <w:noProof/>
        </w:rPr>
      </w:pPr>
      <w:r>
        <w:t>8.5.3 Demand Characteristics and Hawthorne Effect</w:t>
        <w:tab/>
        <w:t>76</w:t>
      </w:r>
    </w:p>
    <w:p w14:paraId="1CD4665F" w14:textId="77777777" w:rsidR="00FD5D21" w:rsidRDefault="00FD5D21">
      <w:pPr>
        <w:pStyle w:val="TOC3"/>
        <w:tabs>
          <w:tab w:val="right" w:leader="dot" w:pos="8495"/>
        </w:tabs>
        <w:rPr>
          <w:noProof/>
        </w:rPr>
      </w:pPr>
      <w:r>
        <w:t>8.5.4 Regression to the Mean</w:t>
        <w:tab/>
        <w:t>76</w:t>
      </w:r>
    </w:p>
    <w:p w14:paraId="1B680E66" w14:textId="77777777" w:rsidR="00FD5D21" w:rsidRDefault="00FD5D21">
      <w:pPr>
        <w:pStyle w:val="TOC3"/>
        <w:tabs>
          <w:tab w:val="right" w:leader="dot" w:pos="8495"/>
        </w:tabs>
        <w:rPr>
          <w:noProof/>
        </w:rPr>
      </w:pPr>
      <w:r>
        <w:t>8.5.5 Physical Fatigue and Motor-Learning Limits</w:t>
        <w:tab/>
        <w:t>77</w:t>
      </w:r>
    </w:p>
    <w:p w14:paraId="01FD2844" w14:textId="77777777" w:rsidR="00FD5D21" w:rsidRDefault="00FD5D21">
      <w:pPr>
        <w:pStyle w:val="TOC3"/>
        <w:tabs>
          <w:tab w:val="right" w:leader="dot" w:pos="8495"/>
        </w:tabs>
        <w:rPr>
          <w:noProof/>
        </w:rPr>
      </w:pPr>
      <w:r>
        <w:t>8.5.6 Language and Literacy Confounds</w:t>
        <w:tab/>
        <w:t>77</w:t>
      </w:r>
    </w:p>
    <w:p w14:paraId="67FE5792" w14:textId="77777777" w:rsidR="00FD5D21" w:rsidRDefault="00FD5D21">
      <w:pPr>
        <w:pStyle w:val="TOC3"/>
        <w:tabs>
          <w:tab w:val="right" w:leader="dot" w:pos="8495"/>
        </w:tabs>
        <w:rPr>
          <w:noProof/>
        </w:rPr>
      </w:pPr>
      <w:r>
        <w:t>8.5.7 Mechanism-Aspecific Just-Better-Design Alternative</w:t>
        <w:tab/>
        <w:t>77</w:t>
      </w:r>
    </w:p>
    <w:p w14:paraId="237275F4" w14:textId="77777777" w:rsidR="00FD5D21" w:rsidRDefault="00FD5D21">
      <w:pPr>
        <w:pStyle w:val="TOC2"/>
        <w:tabs>
          <w:tab w:val="right" w:leader="dot" w:pos="8495"/>
        </w:tabs>
        <w:rPr>
          <w:noProof/>
        </w:rPr>
      </w:pPr>
      <w:r>
        <w:t>8.6 Limitations</w:t>
        <w:tab/>
        <w:t>77</w:t>
      </w:r>
    </w:p>
    <w:p w14:paraId="7923CA0F" w14:textId="77777777" w:rsidR="00FD5D21" w:rsidRDefault="00FD5D21">
      <w:pPr>
        <w:pStyle w:val="TOC2"/>
        <w:tabs>
          <w:tab w:val="right" w:leader="dot" w:pos="8495"/>
        </w:tabs>
        <w:rPr>
          <w:noProof/>
        </w:rPr>
      </w:pPr>
      <w:r>
        <w:t>8.6A A Seventh Limitation: The Language-Mode Boundary of the Layer-2 AI</w:t>
        <w:tab/>
        <w:t>78</w:t>
      </w:r>
    </w:p>
    <w:p>
      <w:pPr>
        <w:pStyle w:val="TOC2"/>
      </w:pPr>
      <w:r>
        <w:t>8.6B Extending the Unit of Analysis: Abandonment as a Three-Party Decision</w:t>
      </w:r>
    </w:p>
    <w:p w14:paraId="6D0B9908" w14:textId="77777777" w:rsidR="00FD5D21" w:rsidRDefault="00FD5D21">
      <w:pPr>
        <w:pStyle w:val="TOC2"/>
        <w:tabs>
          <w:tab w:val="right" w:leader="dot" w:pos="8495"/>
        </w:tabs>
        <w:rPr>
          <w:noProof/>
        </w:rPr>
      </w:pPr>
      <w:r>
        <w:t>8.7 Ethical Considerations</w:t>
        <w:tab/>
        <w:t>78</w:t>
      </w:r>
    </w:p>
    <w:p w14:paraId="70FAC436" w14:textId="77777777" w:rsidR="00FD5D21" w:rsidRDefault="00FD5D21">
      <w:pPr>
        <w:pStyle w:val="TOC3"/>
        <w:tabs>
          <w:tab w:val="right" w:leader="dot" w:pos="8495"/>
        </w:tabs>
        <w:rPr>
          <w:noProof/>
        </w:rPr>
      </w:pPr>
      <w:r>
        <w:t>8.7.1 Vulnerability of Frail Older Adults</w:t>
        <w:tab/>
        <w:t>78</w:t>
      </w:r>
    </w:p>
    <w:p w14:paraId="5F4632A4" w14:textId="77777777" w:rsidR="00FD5D21" w:rsidRDefault="00FD5D21">
      <w:pPr>
        <w:pStyle w:val="TOC3"/>
        <w:tabs>
          <w:tab w:val="right" w:leader="dot" w:pos="8495"/>
        </w:tabs>
        <w:rPr>
          <w:noProof/>
        </w:rPr>
      </w:pPr>
      <w:r>
        <w:t>8.7.2 Decoupling and the Deception Question</w:t>
        <w:tab/>
        <w:t>79</w:t>
      </w:r>
    </w:p>
    <w:p w14:paraId="2311B47E" w14:textId="77777777" w:rsidR="00FD5D21" w:rsidRDefault="00FD5D21">
      <w:pPr>
        <w:pStyle w:val="TOC3"/>
        <w:tabs>
          <w:tab w:val="right" w:leader="dot" w:pos="8495"/>
        </w:tabs>
        <w:rPr>
          <w:noProof/>
        </w:rPr>
      </w:pPr>
      <w:r>
        <w:t>8.7.3 Autonomy, Dignity and the Right Not to Engage</w:t>
        <w:tab/>
        <w:t>79</w:t>
      </w:r>
    </w:p>
    <w:p w14:paraId="7946035C" w14:textId="77777777" w:rsidR="00FD5D21" w:rsidRDefault="00FD5D21">
      <w:pPr>
        <w:pStyle w:val="TOC3"/>
        <w:tabs>
          <w:tab w:val="right" w:leader="dot" w:pos="8495"/>
        </w:tabs>
        <w:rPr>
          <w:noProof/>
        </w:rPr>
      </w:pPr>
      <w:r>
        <w:t>8.7.4 Equity, Access and Deployment Risks</w:t>
        <w:tab/>
        <w:t>79</w:t>
      </w:r>
    </w:p>
    <w:p w14:paraId="0DFBEC77" w14:textId="77777777" w:rsidR="00FD5D21" w:rsidRDefault="00FD5D21">
      <w:pPr>
        <w:pStyle w:val="TOC3"/>
        <w:tabs>
          <w:tab w:val="right" w:leader="dot" w:pos="8495"/>
        </w:tabs>
        <w:rPr>
          <w:noProof/>
        </w:rPr>
      </w:pPr>
      <w:r>
        <w:lastRenderedPageBreak/>
        <w:t>8.7.5 Embedded Researcher Bias</w:t>
        <w:tab/>
        <w:t>79</w:t>
      </w:r>
    </w:p>
    <w:p w14:paraId="14AB5771" w14:textId="77777777" w:rsidR="00FD5D21" w:rsidRDefault="00FD5D21">
      <w:pPr>
        <w:pStyle w:val="TOC2"/>
        <w:tabs>
          <w:tab w:val="right" w:leader="dot" w:pos="8495"/>
        </w:tabs>
        <w:rPr>
          <w:noProof/>
        </w:rPr>
      </w:pPr>
      <w:r>
        <w:t>8.8 Future Research</w:t>
        <w:tab/>
        <w:t>80</w:t>
      </w:r>
    </w:p>
    <w:p w14:paraId="0C464519" w14:textId="77777777" w:rsidR="00FD5D21" w:rsidRDefault="00FD5D21">
      <w:pPr>
        <w:pStyle w:val="TOC2"/>
        <w:tabs>
          <w:tab w:val="right" w:leader="dot" w:pos="8495"/>
        </w:tabs>
        <w:rPr>
          <w:noProof/>
        </w:rPr>
      </w:pPr>
      <w:r>
        <w:t>8.9 Reproducibility and Data Availability</w:t>
        <w:tab/>
        <w:t>80</w:t>
      </w:r>
    </w:p>
    <w:p w14:paraId="7ED588A6" w14:textId="77777777" w:rsidR="00FD5D21" w:rsidRDefault="00FD5D21">
      <w:pPr>
        <w:pStyle w:val="TOC1"/>
        <w:tabs>
          <w:tab w:val="right" w:leader="dot" w:pos="8495"/>
        </w:tabs>
        <w:rPr>
          <w:noProof/>
        </w:rPr>
      </w:pPr>
      <w:r>
        <w:t>Chapter 9 Conclusion</w:t>
        <w:tab/>
        <w:t>82</w:t>
      </w:r>
    </w:p>
    <w:p w14:paraId="60E84DD3" w14:textId="77777777" w:rsidR="00FD5D21" w:rsidRDefault="00FD5D21">
      <w:pPr>
        <w:pStyle w:val="TOC2"/>
        <w:tabs>
          <w:tab w:val="right" w:leader="dot" w:pos="8495"/>
        </w:tabs>
        <w:rPr>
          <w:noProof/>
        </w:rPr>
      </w:pPr>
      <w:r>
        <w:t>9.1 What This Programme Set Out to Do</w:t>
        <w:tab/>
        <w:t>82</w:t>
      </w:r>
    </w:p>
    <w:p w14:paraId="4AFE8BB7" w14:textId="77777777" w:rsidR="00FD5D21" w:rsidRDefault="00FD5D21">
      <w:pPr>
        <w:pStyle w:val="TOC2"/>
        <w:tabs>
          <w:tab w:val="right" w:leader="dot" w:pos="8495"/>
        </w:tabs>
        <w:rPr>
          <w:noProof/>
        </w:rPr>
      </w:pPr>
      <w:r>
        <w:t>9.2 The Three-Stage Empirical Arc</w:t>
        <w:tab/>
        <w:t>82</w:t>
      </w:r>
    </w:p>
    <w:p w14:paraId="2242D32F" w14:textId="77777777" w:rsidR="00FD5D21" w:rsidRDefault="00FD5D21">
      <w:pPr>
        <w:pStyle w:val="TOC2"/>
        <w:tabs>
          <w:tab w:val="right" w:leader="dot" w:pos="8495"/>
        </w:tabs>
        <w:rPr>
          <w:noProof/>
        </w:rPr>
      </w:pPr>
      <w:r>
        <w:t>9.3 The Central Finding: Evidence Consistent with a Coupling or Framing Effect</w:t>
        <w:tab/>
        <w:t>83</w:t>
      </w:r>
    </w:p>
    <w:p w14:paraId="78AC7488" w14:textId="77777777" w:rsidR="00FD5D21" w:rsidRDefault="00FD5D21">
      <w:pPr>
        <w:pStyle w:val="TOC2"/>
        <w:tabs>
          <w:tab w:val="right" w:leader="dot" w:pos="8495"/>
        </w:tabs>
        <w:rPr>
          <w:noProof/>
        </w:rPr>
      </w:pPr>
      <w:r>
        <w:t>9.4 Decoupling Preserves the Viability of Game Theory for Elderly Engagement</w:t>
        <w:tab/>
        <w:t>84</w:t>
      </w:r>
    </w:p>
    <w:p w14:paraId="0AFF8A08" w14:textId="77777777" w:rsidR="00FD5D21" w:rsidRDefault="00FD5D21">
      <w:pPr>
        <w:pStyle w:val="TOC2"/>
        <w:tabs>
          <w:tab w:val="right" w:leader="dot" w:pos="8495"/>
        </w:tabs>
        <w:rPr>
          <w:noProof/>
        </w:rPr>
      </w:pPr>
      <w:r>
        <w:t>9.5 Adaptive Learning as the Design Counter</w:t>
        <w:tab/>
        <w:t>84</w:t>
      </w:r>
    </w:p>
    <w:p w14:paraId="085F1BB8" w14:textId="77777777" w:rsidR="00FD5D21" w:rsidRDefault="00FD5D21">
      <w:pPr>
        <w:pStyle w:val="TOC2"/>
        <w:tabs>
          <w:tab w:val="right" w:leader="dot" w:pos="8495"/>
        </w:tabs>
        <w:rPr>
          <w:noProof/>
        </w:rPr>
      </w:pPr>
      <w:r>
        <w:t>9.6 Competing Appraisal Regimes: Endowment Protection and Learning Trajectory</w:t>
        <w:tab/>
        <w:t>85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9.7 Theoretical Contributions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 Practical Contributions for Industry and Practice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9.8A A Secondary Contribution to Gamification: Agentic-AI-Driven Dynamic Game States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9.8B Future Research Proposition: From Telemetry-Conditioned to Person-Conditioned Adaptation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87</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9.8C Bounded Implications for AI Evaluation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9.9 Limits of What Has Been Shown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9.10 Natural Extensions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9.11 Returning to the Three F4 Residents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9.12 Closing Synthesis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93</w:t>
      </w:r>
    </w:p>
    <w:p>
      <w:pPr>
        <w:pStyle w:val="TOC1"/>
        <w:tabs>
          <w:tab w:val="right" w:leader="dot" w:pos="8495"/>
        </w:tabs>
        <w:rPr>
          <w:noProof/>
        </w:rPr>
      </w:pPr>
      <w:r>
        <w:rPr>
          <w:szCs w:val="22"/>
          <w:lang w:val="en-US" w:eastAsia="en-US" w:bidi="ar-SA"/>
          <w:rFonts w:ascii="Times New Roman" w:hAnsi="Times New Roman" w:eastAsia="Times New Roman" w:cs="Times New Roman"/>
          <w:sz w:val="24"/>
        </w:rPr>
        <w:t>References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94</w:t>
      </w:r>
    </w:p>
    <w:p>
      <w:pPr>
        <w:pStyle w:val="TOC1"/>
        <w:tabs>
          <w:tab w:val="right" w:leader="dot" w:pos="8495"/>
        </w:tabs>
        <w:rPr>
          <w:noProof/>
        </w:rPr>
      </w:pPr>
      <w:r>
        <w:rPr>
          <w:szCs w:val="22"/>
          <w:lang w:val="en-US" w:eastAsia="en-US" w:bidi="ar-SA"/>
          <w:rFonts w:ascii="Times New Roman" w:hAnsi="Times New Roman" w:eastAsia="Times New Roman" w:cs="Times New Roman"/>
          <w:sz w:val="24"/>
        </w:rPr>
        <w:t>Appendices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A · Stage-1 Survey Instrument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102</w:t>
      </w:r>
    </w:p>
    <w:p>
      <w:pPr>
        <w:pStyle w:val="TOC3"/>
        <w:tabs>
          <w:tab w:val="right" w:leader="dot" w:pos="8495"/>
        </w:tabs>
        <w:rPr>
          <w:noProof/>
        </w:rPr>
      </w:pPr>
      <w:r>
        <w:rPr>
          <w:szCs w:val="22"/>
          <w:lang w:val="en-US" w:eastAsia="en-US" w:bidi="ar-SA"/>
          <w:rFonts w:ascii="Times New Roman" w:hAnsi="Times New Roman" w:eastAsia="Times New Roman" w:cs="Times New Roman"/>
          <w:sz w:val="24"/>
        </w:rPr>
        <w:t>A.1 · Survey Items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B · Stage-2 FIAS Coding Scheme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C · Stage-2 Qualitative Record and the F4 Interview Protocol (Designed, Not Administered)</w:t>
        <w:tab/>
        <w:t>104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C.1 · Question Set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D · Stage-3 Decoupling Questionnaire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3"/>
        <w:tabs>
          <w:tab w:val="right" w:leader="dot" w:pos="8495"/>
        </w:tabs>
        <w:rPr>
          <w:noProof/>
        </w:rPr>
      </w:pPr>
      <w:r>
        <w:rPr>
          <w:szCs w:val="22"/>
          <w:lang w:val="en-US" w:eastAsia="en-US" w:bidi="ar-SA"/>
          <w:rFonts w:ascii="Times New Roman" w:hAnsi="Times New Roman" w:eastAsia="Times New Roman" w:cs="Times New Roman"/>
          <w:sz w:val="24"/>
        </w:rPr>
        <w:t>D.1 · Post-Session Items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3"/>
        <w:tabs>
          <w:tab w:val="right" w:leader="dot" w:pos="8495"/>
        </w:tabs>
        <w:rPr>
          <w:noProof/>
        </w:rPr>
      </w:pPr>
      <w:r>
        <w:rPr>
          <w:szCs w:val="22"/>
          <w:lang w:val="en-US" w:eastAsia="en-US" w:bidi="ar-SA"/>
          <w:rFonts w:ascii="Times New Roman" w:hAnsi="Times New Roman" w:eastAsia="Times New Roman" w:cs="Times New Roman"/>
          <w:sz w:val="24"/>
        </w:rPr>
        <w:t>D.2 · Demographic Block (At Enrolment)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E · Five-Layer Architecture and Adaptive-Learning Reference Stack</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E.1 · Layers L0–L4 (Stage-2 Operational)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E.2 · Layers L5–L7 (Adaptive-Learning Reference Stack)</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E.3 · AI Safety Provisions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107</w:t>
      </w:r>
    </w:p>
    <w:p>
      <w:pPr>
        <w:pStyle w:val="TOC2"/>
      </w:pPr>
      <w:r>
        <w:rPr>
          <w:szCs w:val="22"/>
          <w:lang w:val="en-US" w:eastAsia="en-US" w:bidi="ar-SA"/>
          <w:rFonts w:ascii="Times New Roman" w:hAnsi="Times New Roman" w:eastAsia="Times New Roman" w:cs="Times New Roman"/>
          <w:sz w:val="24"/>
        </w:rPr>
        <w:t>Appendix F · Glossary of Key Constructs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108</w:t>
      </w:r>
    </w:p>
    <w:p>
      <w:pPr>
        <w:pStyle w:val="TOC2"/>
        <w:spacing w:after="200" w:line="276" w:lineRule="auto"/>
        <w:rPr>
          <w:rFonts w:asciiTheme="majorHAnsi" w:eastAsiaTheme="majorEastAsia" w:hAnsiTheme="majorHAnsi" w:cstheme="majorBidi"/>
          <w:b/>
          <w:bCs/>
          <w:color w:val="000000"/>
          <w:sz w:val="32"/>
          <w:szCs w:val="32"/>
        </w:rPr>
      </w:pPr>
      <w:r>
        <w:rPr>
          <w:rFonts w:asciiTheme="majorHAnsi" w:eastAsiaTheme="majorEastAsia" w:hAnsiTheme="majorHAnsi" w:cstheme="majorBidi" w:ascii="Times New Roman" w:hAnsi="Times New Roman" w:eastAsia="Times New Roman" w:cs="Times New Roman"/>
          <w:b/>
          <w:color w:val="000000"/>
          <w:sz w:val="32"/>
          <w:szCs w:val="28"/>
        </w:rPr>
        <w:t>Appendix G · Raw Data, Photographs and Supplementary Materials</w:t>
      </w:r>
      <w:r>
        <w:rPr>
          <w:rFonts w:asciiTheme="majorHAnsi" w:eastAsiaTheme="majorEastAsia" w:hAnsiTheme="majorHAnsi" w:cstheme="majorBidi"/>
          <w:b/>
          <w:color w:val="000000"/>
          <w:sz w:val="32"/>
          <w:szCs w:val="32"/>
        </w:rPr>
        <w:tab/>
      </w:r>
      <w:r>
        <w:rPr>
          <w:rFonts w:asciiTheme="majorHAnsi" w:eastAsiaTheme="majorEastAsia" w:hAnsiTheme="majorHAnsi" w:cstheme="majorBidi" w:ascii="Times New Roman" w:hAnsi="Times New Roman" w:eastAsia="Times New Roman" w:cs="Times New Roman"/>
          <w:b/>
          <w:color w:val="000000"/>
          <w:sz w:val="32"/>
          <w:szCs w:val="28"/>
        </w:rPr>
        <w:t>110</w:t>
      </w:r>
    </w:p>
    <w:p>
      <w:pPr>
        <w:pStyle w:val="TOC2"/>
      </w:pPr>
      <w:r>
        <w:rPr>
          <w:szCs w:val="22"/>
          <w:lang w:val="en-US" w:eastAsia="en-US" w:bidi="ar-SA"/>
          <w:rFonts w:ascii="Times New Roman" w:hAnsi="Times New Roman" w:eastAsia="Times New Roman" w:cs="Times New Roman"/>
          <w:sz w:val="24"/>
        </w:rPr>
        <w:t>Appendix H · Expert Consultation Record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112</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Figures</w:t>
      </w:r>
    </w:p>
    <w:p>
      <w:pPr>
        <w:pStyle w:val="TOC1"/>
      </w:pPr>
      <w:r>
        <w:rPr>
          <w:szCs w:val="22"/>
          <w:lang w:val="en-US" w:eastAsia="en-US" w:bidi="ar-SA"/>
          <w:rFonts w:ascii="Times New Roman" w:hAnsi="Times New Roman" w:eastAsia="Times New Roman" w:cs="Times New Roman"/>
          <w:sz w:val="24"/>
        </w:rPr>
        <w:t>Figure 1.1. The intellectual structure of the thesis: from industrial problem through FIAS, the adaptive-learning framework and the dynamic game-state engine to the industrial outcome.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3.1. Three-stage action research programme. Each stage produces an empirical output and a theoretical revision; the three stages converge on the adaptive-learning framework design framework and the future-work programme.</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26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30</w:t>
      </w:r>
    </w:p>
    <w:p>
      <w:pPr>
        <w:pStyle w:val="TOC1"/>
      </w:pPr>
      <w:r>
        <w:rPr>
          <w:szCs w:val="22"/>
          <w:lang w:val="en-US" w:eastAsia="en-US" w:bidi="ar-SA"/>
          <w:rFonts w:ascii="Times New Roman" w:hAnsi="Times New Roman" w:eastAsia="Times New Roman" w:cs="Times New Roman"/>
          <w:sz w:val="24"/>
        </w:rPr>
        <w:t>Figure 4.1B. The FRA balance station as deployed in the rehabilitation room of the Guangzhou facility.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 xml:space="preserve">Figure 5.0. Integration of the FRA system into the skiing game. The four-load-cell footplate is shared; the COP stream feeds a player-facing pipeline (skiing-game engine, design parameters, adaptive difficulty engine, telemetry logger) on the left and a </w:t>
        <w:t>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36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5.1. Skiing game on-screen display. The skier is controlled through Centre-of-Pressure shifts on the InBody panel; trees and rocks act as obstacles, gold coins reward forward play, and a level-and-score display is anchored to the top of the screen.</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40</w:t>
      </w:r>
    </w:p>
    <w:p>
      <w:pPr>
        <w:pStyle w:val="TOC1"/>
      </w:pPr>
      <w:r>
        <w:rPr>
          <w:szCs w:val="22"/>
          <w:lang w:val="en-US" w:eastAsia="en-US" w:bidi="ar-SA"/>
          <w:rFonts w:ascii="Times New Roman" w:hAnsi="Times New Roman" w:eastAsia="Times New Roman" w:cs="Times New Roman"/>
          <w:sz w:val="24"/>
        </w:rPr>
        <w:t>Figure 5.1A. The platform-game coupling demonstrated by a control person (development office, August 2024).</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1"/>
      </w:pPr>
      <w:r>
        <w:rPr>
          <w:szCs w:val="22"/>
          <w:lang w:val="en-US" w:eastAsia="en-US" w:bidi="ar-SA"/>
          <w:rFonts w:ascii="Times New Roman" w:hAnsi="Times New Roman" w:eastAsia="Times New Roman" w:cs="Times New Roman"/>
          <w:sz w:val="24"/>
        </w:rPr>
        <w:t>Figure 5.1B. The deployed game artefact across difficulty levels 1–5 (screenshots from the archived game build).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5.2. Five-layer architecture of the gamified FRA system. The dual-purpose mechanic links Layer 0 (sensor input) and Layer 4 (clinical output) through the gameplay layers without exposing clinical numbers to the user during play.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5.4. Participant-level pre/post recorded FRA index for the Stage-2 cohort (N = 30), by engagement group.</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5.5. Participant flow diagram (Stage 2, N = 30): no re-engagement was observed among the twenty-one low-engagement participants during the eight-week study window.</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5.6. Distribution of provisional FIAS composite scores across all 30 participants. The composite includes engagement-outcome attributes, so the separation of the F4 cluster is expected by construction; the figure is descriptive case identification, not evidence (§5.6).</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51</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6.1. Stage-3 retention and observed non-return at the end of the study window by age band (N = 120).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57</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6.2. Return behaviour after initial dropout, by age band: 62.5% return rate in the 65–80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57</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6.3. Retention versus regular-use intention by age band: the 29.3-pp commitment gap in the 65–80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7.1. adaptive-learning reference stack: existing five-layer FRA architecture (L0–L4) extended with three additional layers (L5 User-Facing Trajectory; L6 Staff Coaching Protocol; L7 Adaptive-Learning Telemetry).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68</w:t>
      </w:r>
    </w:p>
    <w:p>
      <w:pPr>
        <w:pStyle w:val="TOC1"/>
      </w:pPr>
      <w:r>
        <w:t>Figure 8.1. The gerontechnology design space: measurement versus engagement, and the occupied middle ground.</w:t>
        <w:tab/>
        <w:t>79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90</w:t>
      </w:r>
    </w:p>
    <w:p>
      <w:pPr>
        <w:pStyle w:val="Normal"/>
      </w:pPr>
    </w:p>
    <w:p>
      <w:pPr>
        <w:pStyle w:val="Heading1"/>
      </w:pPr>
      <w:bookmarkStart w:id="3" w:name="_Toc232024494"/>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Tables</w:t>
      </w:r>
      <w:bookmarkEnd w:id="3"/>
    </w:p>
    <w:p>
      <w:pPr>
        <w:pStyle w:val="TOC1"/>
      </w:pPr>
      <w:r>
        <w:rPr>
          <w:szCs w:val="22"/>
          <w:lang w:val="en-US" w:eastAsia="en-US" w:bidi="ar-SA"/>
          <w:rFonts w:ascii="Times New Roman" w:hAnsi="Times New Roman" w:eastAsia="Times New Roman" w:cs="Times New Roman"/>
          <w:sz w:val="24"/>
        </w:rPr>
        <w:t>Table 2.1. From the rejected null hypothesis to candidate mechanisms: the structure of the FIAS account.</w:t>
      </w:r>
    </w:p>
    <w:p>
      <w:pPr>
        <w:pStyle w:val="TOC1"/>
      </w:pPr>
      <w:r>
        <w:rPr>
          <w:szCs w:val="22"/>
          <w:lang w:val="en-US" w:eastAsia="en-US" w:bidi="ar-SA"/>
          <w:rFonts w:ascii="Times New Roman" w:hAnsi="Times New Roman" w:eastAsia="Times New Roman" w:cs="Times New Roman"/>
          <w:sz w:val="24"/>
        </w:rPr>
        <w:t>Table 3.1. The hypothesis architecture of the programme: where each claim originates, is stated, is tested, and stands.</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4.1. Stage-1 survey results (N = 200 residents surveyed, of a resident population of 280).</w:t>
        <w:tab/>
        <w:t>31</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4.2. TAM limitations for elderly FRA users.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4.3. Octalysis drives contextualised against STAM characteristics.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33</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5.0. Skiing-game parameters by which the FRA COP signal is integrated into gameplay (extract; full specification in Game_States_and_Parameters.xlsx).</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38</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5.1. Skiing game data structure summary.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43</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5.2. Stage-2 engagement pattern (N = 30).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48</w:t>
      </w:r>
    </w:p>
    <w:p>
      <w:pPr>
        <w:pStyle w:val="TOC1"/>
      </w:pPr>
      <w:r>
        <w:rPr>
          <w:szCs w:val="22"/>
          <w:lang w:val="en-US" w:eastAsia="en-US" w:bidi="ar-SA"/>
          <w:rFonts w:ascii="Times New Roman" w:hAnsi="Times New Roman" w:eastAsia="Times New Roman" w:cs="Times New Roman"/>
          <w:sz w:val="24"/>
        </w:rPr>
        <w:t>Table 5.3. QFD deployment matrix: user needs mapped onto game technical characteristics.</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6.1. Stage-3 overall engagement and dropout (N = 120).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55</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6.2. Stage-3 age-stratified engagement.</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55</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6.3. Stage-3 coordination endorsement and regular-use intention by age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6.4. Three-tier nested model specification for the FIAS-vs-TAM/STAM quantitative comparison.</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6.5. Consolidated statistical results for the key contrasts of Stages 2 and 3.</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7.1. Adaptive-learning principles, function and empirical anchor.</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66</w:t>
      </w:r>
    </w:p>
    <w:p>
      <w:pPr>
        <w:pStyle w:val="TOC1"/>
      </w:pPr>
      <w:r>
        <w:rPr>
          <w:szCs w:val="22"/>
          <w:lang w:val="en-US" w:eastAsia="en-US" w:bidi="ar-SA"/>
          <w:rFonts w:ascii="Times New Roman" w:hAnsi="Times New Roman" w:eastAsia="Times New Roman" w:cs="Times New Roman"/>
          <w:sz w:val="24"/>
        </w:rPr>
        <w:t>Table 8.0. The four contribution registers and where each is stated.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72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7.2. Adaptive-learning reference stack (L0–L7) mapped to adaptive-learning principles.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66</w:t>
      </w:r>
    </w:p>
    <w:p>
      <w:pPr>
        <w:pStyle w:val="TOC1"/>
      </w:pPr>
      <w:r>
        <w:rPr>
          <w:szCs w:val="22"/>
          <w:lang w:val="en-US" w:eastAsia="en-US" w:bidi="ar-SA"/>
          <w:rFonts w:ascii="Times New Roman" w:hAnsi="Times New Roman" w:eastAsia="Times New Roman" w:cs="Times New Roman"/>
          <w:sz w:val="24"/>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89</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Abbreviations</w:t>
      </w:r>
    </w:p>
    <w:tbl>
      <w:tblPr>
        <w:tblStyle w:val="TableGrid"/>
        <w:tblW w:w="0" w:type="auto"/>
        <w:jc w:val="center"/>
        <w:tblLook w:val="04A0" w:firstRow="1" w:lastRow="0" w:firstColumn="1" w:lastColumn="0" w:noHBand="0" w:noVBand="1"/>
      </w:tblPr>
      <w:tblGrid>
        <w:gridCol w:w="4247"/>
        <w:gridCol w:w="4248"/>
      </w:tblGrid>
      <w:tr>
        <w:trPr>
          <w:jc w:val="center"/>
        </w:trPr>
        <w:tc>
          <w:tcPr>
            <w:tcW w:w="4247" w:type="dxa"/>
          </w:tcPr>
          <w:p>
            <w:pPr>
              <w:pStyle w:val="Normal"/>
            </w:pPr>
            <w:r>
              <w:rPr>
                <w:b/>
                <w:sz w:val="20"/>
                <w:szCs w:val="22"/>
                <w:lang w:val="en-US" w:eastAsia="en-US" w:bidi="ar-SA"/>
                <w:rFonts w:ascii="Times New Roman" w:hAnsi="Times New Roman" w:eastAsia="Times New Roman" w:cs="Times New Roman"/>
              </w:rPr>
              <w:t>AI</w:t>
            </w:r>
          </w:p>
        </w:tc>
        <w:tc>
          <w:tcPr>
            <w:tcW w:w="4248" w:type="dxa"/>
          </w:tcPr>
          <w:p>
            <w:pPr>
              <w:pStyle w:val="Normal"/>
            </w:pPr>
            <w:r>
              <w:rPr>
                <w:b/>
                <w:sz w:val="20"/>
                <w:szCs w:val="22"/>
                <w:lang w:val="en-US" w:eastAsia="en-US" w:bidi="ar-SA"/>
                <w:rFonts w:ascii="Times New Roman" w:hAnsi="Times New Roman" w:eastAsia="Times New Roman" w:cs="Times New Roman"/>
              </w:rPr>
              <w:t>Artificial Intelligence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AIC / BIC</w:t>
            </w:r>
          </w:p>
        </w:tc>
        <w:tc>
          <w:tcPr>
            <w:tcW w:w="4248"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AUC</w:t>
            </w:r>
          </w:p>
        </w:tc>
        <w:tc>
          <w:tcPr>
            <w:tcW w:w="4248"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CI</w:t>
            </w:r>
          </w:p>
        </w:tc>
        <w:tc>
          <w:tcPr>
            <w:tcW w:w="4248"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COP</w:t>
            </w:r>
          </w:p>
        </w:tc>
        <w:tc>
          <w:tcPr>
            <w:tcW w:w="4248"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FES-I</w:t>
            </w:r>
          </w:p>
        </w:tc>
        <w:tc>
          <w:tcPr>
            <w:tcW w:w="4248"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FIAS</w:t>
            </w:r>
          </w:p>
        </w:tc>
        <w:tc>
          <w:tcPr>
            <w:tcW w:w="4248"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FIDS</w:t>
            </w:r>
          </w:p>
        </w:tc>
        <w:tc>
          <w:tcPr>
            <w:tcW w:w="4248"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FRA</w:t>
            </w:r>
          </w:p>
        </w:tc>
        <w:tc>
          <w:tcPr>
            <w:tcW w:w="4248"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PEOU</w:t>
            </w:r>
          </w:p>
        </w:tc>
        <w:tc>
          <w:tcPr>
            <w:tcW w:w="4248"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PIPL</w:t>
            </w:r>
          </w:p>
        </w:tc>
        <w:tc>
          <w:tcPr>
            <w:tcW w:w="4248"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trPr>
        <w:tc>
          <w:tcPr>
            <w:tcW w:w="4247" w:type="dxa"/>
          </w:tcPr>
          <w:p>
            <w:pPr>
              <w:pStyle w:val="Normal"/>
            </w:pPr>
            <w:r>
              <w:rPr>
                <w:szCs w:val="22"/>
                <w:lang w:val="en-US" w:eastAsia="en-US" w:bidi="ar-SA"/>
                <w:rFonts w:ascii="Times New Roman" w:hAnsi="Times New Roman" w:eastAsia="Times New Roman" w:cs="Times New Roman"/>
                <w:sz w:val="20"/>
              </w:rPr>
              <w:t>PU</w:t>
            </w:r>
          </w:p>
        </w:tc>
        <w:tc>
          <w:tcPr>
            <w:tcW w:w="4248"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STAM</w:t>
            </w:r>
          </w:p>
        </w:tc>
        <w:tc>
          <w:tcPr>
            <w:tcW w:w="4248"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TAM</w:t>
            </w:r>
          </w:p>
        </w:tc>
        <w:tc>
          <w:tcPr>
            <w:tcW w:w="4248"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UTAUT</w:t>
            </w:r>
          </w:p>
        </w:tc>
        <w:tc>
          <w:tcPr>
            <w:tcW w:w="4248"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WTA</w:t>
            </w:r>
          </w:p>
        </w:tc>
        <w:tc>
          <w:tcPr>
            <w:tcW w:w="4248"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WTP</w:t>
            </w:r>
          </w:p>
        </w:tc>
        <w:tc>
          <w:tcPr>
            <w:tcW w:w="4248" w:type="dxa"/>
          </w:tcPr>
          <w:p>
            <w:pPr>
              <w:pStyle w:val="Normal"/>
            </w:pPr>
            <w:r>
              <w:rPr>
                <w:sz w:val="20"/>
                <w:szCs w:val="22"/>
                <w:lang w:val="en-US" w:eastAsia="en-US" w:bidi="ar-SA"/>
                <w:rFonts w:ascii="Times New Roman" w:hAnsi="Times New Roman" w:eastAsia="Times New Roman" w:cs="Times New Roman"/>
              </w:rPr>
              <w:t>Willingness To Pay</w:t>
            </w:r>
          </w:p>
        </w:tc>
      </w:tr>
    </w:tbl>
    <w:p>
      <w:pPr>
        <w:pStyle w:val="Normal"/>
        <w:spacing w:after="40"/>
      </w:pPr>
    </w:p>
    <w:p>
      <w:pPr>
        <w:pStyle w:val="Normal"/>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Chapter 1 Introduction</w:t>
      </w:r>
      <w:bookmarkEnd w:id="4"/>
    </w:p>
    <w:p>
      <w:pPr>
        <w:pStyle w:val="Heading2"/>
      </w:pPr>
      <w:bookmarkStart w:id="5" w:name="_Toc232024497"/>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pStyle w:val="Normal"/>
        <w:jc w:val="both"/>
      </w:pPr>
      <w:r>
        <w:rPr>
          <w:szCs w:val="22"/>
          <w:lang w:val="en-US" w:eastAsia="en-US" w:bidi="ar-SA"/>
          <w:rFonts w:ascii="Times New Roman" w:hAnsi="Times New Roman" w:eastAsia="Times New Roman" w:cs="Times New Roman"/>
          <w:sz w:val="24"/>
        </w:rPr>
        <w:t>The point of departure for this thesis is therefore an industrial puzzle, not a literature gap. A piece of clinically validated equipment, installed at no cost to residents, with documented benefit and an accessible interface, was producing close to zero engagement after a decade of remedial intervention. Standard explanations did not match the field signature. Something was happening at the moment of first contact, or shortly after it, that converted potential users into permanent non-users. Identifying what that something was, and translating the answer into a continuous-improvement design response, became the topic of this work.</w:t>
      </w:r>
    </w:p>
    <w:p>
      <w:pPr>
        <w:pStyle w:val="Heading2"/>
      </w:pPr>
      <w:bookmarkStart w:id="6" w:name="_Toc232024498"/>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1.2 Why the Empty Station Is an Industry Problem, Not a Local Problem</w:t>
      </w:r>
      <w:bookmarkEnd w:id="6"/>
    </w:p>
    <w:p>
      <w:pPr>
        <w:pStyle w:val="Normal"/>
        <w:jc w:val="both"/>
      </w:pPr>
      <w:r>
        <w:rPr>
          <w:szCs w:val="22"/>
          <w:lang w:val="en-US" w:eastAsia="en-US" w:bidi="ar-SA"/>
          <w:rFonts w:ascii="Times New Roman" w:hAnsi="Times New Roman" w:eastAsia="Times New Roman" w:cs="Times New Roman"/>
          <w:sz w:val="24"/>
        </w:rPr>
        <w:t xml:space="preserve">The Guangzhou facility is not anomalous. Across the elderly residential care sector in Hong Kong, Mainland China and several comparable economies, sensor-based health </w:t>
        <w:t>technologies that perform well in clinical validation studies routinely under-perform in residential deployment. The sector knows this. Procurement decisions are made on clinical evidence; deployment decisions are made on adoption assumptions; the gap between the two is absorbed quietly as facility-level under-utilisation. The empty FRA station in Guangzhou is one local visible manifestation of a sector-wide structural problem.</w:t>
      </w:r>
    </w:p>
    <w:p>
      <w:pPr>
        <w:pStyle w:val="Normal"/>
        <w:jc w:val="both"/>
      </w:pPr>
      <w:r>
        <w:rPr>
          <w:szCs w:val="22"/>
          <w:lang w:val="en-US" w:eastAsia="en-US" w:bidi="ar-SA"/>
          <w:rFonts w:ascii="Times New Roman" w:hAnsi="Times New Roman" w:eastAsia="Times New Roman" w:cs="Times New Roman"/>
          <w:sz w:val="24"/>
        </w:rPr>
        <w:t>The cost of the structural problem is not abstract. A health technology that an older adult abandons after first contact does not protect that user from the outcome the technology was built to prevent. The user's eventual fall, fracture, hospital admission and decline are downstream of an engagement event that the technology never recovered from. The engagement event is therefore the engineering boundary of the entire intervention chain. If the user does not engage, the rest of the technology is inert. The Engineering Doctorate framing of the present programme follows directly from this observation: the engineering work is the design and continuous improvement of the engagement event itself, not the further refinement of equipment whose clinical case is already settled.</w:t>
      </w:r>
    </w:p>
    <w:p>
      <w:pPr>
        <w:pStyle w:val="Heading2"/>
      </w:pPr>
      <w:bookmarkStart w:id="7" w:name="_Toc232024499"/>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t>of acute mental-health conditions. Whatever drives their abandonment is operating within a population that the standard non-use framings do not reach.</w:t>
      </w:r>
    </w:p>
    <w:p>
      <w:pPr>
        <w:pStyle w:val="Heading2"/>
      </w:pPr>
      <w:bookmarkStart w:id="8" w:name="_Toc232024500"/>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Existing FRA systems fail not because they are clinically ineffective, but because the behavioural consequences of early failure are insufficiently considered in system design. This thesis investigates how adaptive interaction design can reduce disengagement while preserving clinical validity.</w:t>
      </w:r>
    </w:p>
    <w:p>
      <w:pPr>
        <w:pStyle w:val="Heading2"/>
      </w:pPr>
      <w:bookmarkStart w:id="9" w:name="_Toc232024501"/>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t>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author initially named the conjecture Failure-Induced Dropout Syndrome (FIDS). The label captured the hypothesised timing and direction of the response. Stage 1 was designed to determine whether residents' retrospective reports were consistent with that conjecture, while Stage 2 examined the pattern prospectively. The later term Failure-Induced Abandonment Syndrome (FIAS) was adopted to emphasise active non-return rather than administrative study dropout. Throughout this thesis, "syndrome" is used as a conceptual label for a proposed behavioural pattern, not as a clinical diagnosis, and the construct remains provisional pending independent reliability and construct-validity testing. Methodologically, the conjecture and the literature's expectation were kept in explicit tension: Chapter 2 formalises the literature's expectation as the null hypothesis H0 — that a well-designed gamified FRA would be accepted and would not suffer failure-driven abandonment — and the empirical stages test H0 with the conjecture standing as its rival. The architecture that governs which claim is stated, tested and resolved where, is set out in Table 3.1. This thesis proposes FIAS as a provisional behavioural construct developed from the observed interaction patterns in this research programme; its definition, evidential status and limits are developed in Chapters 4 and 5.</w:t>
      </w:r>
    </w:p>
    <w:p>
      <w:pPr>
        <w:pStyle w:val="Heading2"/>
      </w:pPr>
      <w:bookmarkStart w:id="10" w:name="_Toc23202450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denominator for all Stage-1 results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headline records indicated that 39% had used FRA; among prior users, approximately 74% were coded as having an adverse, unacceptable or unsuccessful first experience and approximately 82% reported no subsequent return. Working tables from the survey period also suggested favourable physical-access and perceived-benefit estimates; because those figures cannot be traced to items in the archived six-item instrument (Appendix A), they are not reported as survey results in this thesis. The survey therefore provides a strong descriptive problem signature, but its wording does not allow every negative first experience to be treated unambiguously as task failure.</w:t>
      </w:r>
    </w:p>
    <w:p>
      <w:pPr>
        <w:pStyle w:val="Normal"/>
        <w:jc w:val="both"/>
      </w:pPr>
      <w:r>
        <w:rPr>
          <w:szCs w:val="22"/>
          <w:lang w:val="en-US" w:eastAsia="en-US" w:bidi="ar-SA"/>
          <w:rFonts w:ascii="Times New Roman" w:hAnsi="Times New Roman" w:eastAsia="Times New Roman" w:cs="Times New Roman"/>
          <w:sz w:val="24"/>
        </w:rPr>
        <w:t>The Stage-1 pattern suggested that awareness and favourable beliefs alone were insufficient to explain use and that the first experience deserved direct prospective investigation. Stage 1 did not establish the timing of a psychological collapse, irreversible abandonment, or the mechanism of non-return. It supported the transition from a general dropout hypothesis toward a more specific abandonment construct and generated the questions tested in Stage 2. The FIDS-to-FIAS terminological revision therefore emerged from the Stage-1 interpretation and was strengthened, but not fully validated, by the Stage-2 prospective evidence.</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1.7 The Three F4 Residents and the Objective-Score-Improvement/Non-Return Paradox</w:t>
      </w:r>
    </w:p>
    <w:p w14:paraId="39A8D831" w14:textId="77777777" w:rsidR="0062437E" w:rsidRDefault="00000000">
      <w:pPr>
        <w:jc w:val="both"/>
      </w:pPr>
      <w:r>
        <w:t>Stage 2 brought the FIDS-to-FIAS distinction into sharper empirical focus. Thirty residents participated over eight weeks in an action-research deployment of a dual-purpose AI-assisted skiing game on the InBody pressure panel. Six residents formed the F4 cluster, defined by the study's provisional coding scheme and complete exit after a single session. Three of the six recorded positive change in the FRA index during that session and did not return during the observation period. The result is important because the behavioural outcome did not track the direction of the recorded score change. It should not, however, be interpreted automatically as evidence of clinical benefit: a single-session change may include measurement variation, familiarisation, practice effects or short-term motor adaptation unless it exceeds a validated measurement-error or clinical-significance threshold.</w:t>
      </w:r>
    </w:p>
    <w:p w14:paraId="1D7A94AA" w14:textId="77777777" w:rsidR="0062437E" w:rsidRDefault="00000000">
      <w:pPr>
        <w:jc w:val="both"/>
      </w:pPr>
      <w:r>
        <w:t>The improvers and non-improvers behaved similarly on the outcome of interest: neither group returned during the study window. This objective-score-improvement/non-return paradox became an empirical anchor because conventional acceptance models do not explicitly represent a case in which favourable task-related feedback coexists with non-return after an adverse experience. Behavioural economics was therefore introduced as a candidate explanatory layer. The Stage-2 finding motivated the FIAS interpretation and widened the theoretical frame, but it did not directly measure mental accounting, identity protection, endowment or stereotype threat.</w:t>
      </w:r>
    </w:p>
    <w:p w14:paraId="02A5EE77" w14:textId="77777777" w:rsidR="0062437E" w:rsidRDefault="00000000">
      <w:pPr>
        <w:pStyle w:val="Heading2"/>
      </w:pPr>
      <w:bookmarkStart w:id="11" w:name="_Toc232024504"/>
      <w:r>
        <w:lastRenderedPageBreak/>
        <w:t>1.8 The Learn-to-Earn Philosophy: A Thread Running Through the Journey</w:t>
      </w:r>
      <w:bookmarkEnd w:id="11"/>
    </w:p>
    <w:p w14:paraId="32BA0141" w14:textId="77777777" w:rsidR="0062437E" w:rsidRDefault="00000000">
      <w:pPr>
        <w:jc w:val="both"/>
      </w:pPr>
      <w:r>
        <w:t>From the design phase of the skiing game onwards, the author had been working with a particular philosophical framing of what the intervention was trying to do. The framing can be summarised in three words: learn to earn. The user learns balance and coordination through play. The user earns coins, levels, recognition and, eventually, a measurably better balance trajectory through that learning. The philosophy treats failure inside a session as part of the learning, not as a verdict on the user. The same philosophy is the practitioner-facing version of what the academic literature on productive failure (Kapur, 2008) and adaptive learning calls dynamic-self-concept design.</w:t>
      </w:r>
    </w:p>
    <w:p w14:paraId="24CEF308" w14:textId="77777777" w:rsidR="0062437E" w:rsidRDefault="00000000">
      <w:pPr>
        <w:jc w:val="both"/>
      </w:pPr>
      <w:r>
        <w:t>Each stage examined the learn-to-earn philosophy from a different angle. Stage 1 suggested that favourable expectations did not guarantee continued engagement after an adverse first experience. Stage 2 embedded coins, level progression and adaptive difficulty in the skiing game, but a subset of participants still did not return under the coupled clinical-game condition. This pattern is consistent with, but does not by itself prove, the interpretation that the surrounding clinical frame can dominate the in-game learning frame. Stage 3 implemented participant-facing decoupling in a separate Hong Kong cohort. Post-failure return increased from 0 of 21 observed Stage-2 dropouts to 10 of 16 initial dropouts in the Stage-3 65-80 group, and to 15 of 23 across Stage 3. Because the cohorts and contexts differed, the change should be interpreted as convergent quasi-experimental evidence rather than as a within-cohort causal effect.</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adaptive-learning framework closes the long-term commitment gap. Its incremental effectiveness is a subject for the next controlled cycle.</w:t>
      </w:r>
    </w:p>
    <w:p w14:paraId="0190BC55" w14:textId="77777777" w:rsidR="0062437E" w:rsidRDefault="00000000">
      <w:pPr>
        <w:pStyle w:val="Heading2"/>
      </w:pPr>
      <w:bookmarkStart w:id="12" w:name="_Toc232024505"/>
      <w:r>
        <w:t>1.9 The Decoupling Test and the Closure of the Empirical Arc</w:t>
      </w:r>
      <w:bookmarkEnd w:id="12"/>
    </w:p>
    <w:p w14:paraId="2895AA73" w14:textId="77777777" w:rsidR="0062437E" w:rsidRDefault="00000000">
      <w:pPr>
        <w:jc w:val="both"/>
      </w:pPr>
      <w:r>
        <w:t>Stage 3 was the programme's attribution experiment. By the close of Stage 2, H0 stood rejected, FIAS had been specified as a provisional construct and a behavioural-economic mechanism had been proposed — but the rejection admitted two readings: either gamification simply does not transfer to frail older adults, or the theory works and the coupling to the clinical technology broke it. These make opposite predictions for the same game with the clinical attachment removed, and Stage 3 was designed to tell them apart — in effect, a positive control for gamification theory itself. A separate-cohort decoupling study could provide strong directional evidence, though not eliminate all cohort and contextual alternatives.</w:t>
      </w:r>
    </w:p>
    <w:p w14:paraId="10B8BFA5" w14:textId="77777777" w:rsidR="0062437E" w:rsidRDefault="00000000">
      <w:pPr>
        <w:jc w:val="both"/>
      </w:pPr>
      <w:r>
        <w:t>One hundred and twenty adults aged 25-80 were recruited through the author's Hong Kong-based networks — work contacts, a charity community network, university support channels and the author's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Stage 3 thereby changed a package of participant-facing clinical cues: no clinical pre-scan was conducted, clinical and fall-risk terminology was removed, participant-facing clinical outputs were withheld, recruitment described a coordination challenge, and the interface was re-skinned. Observed non-return was 6.7% overall and 14.6% in the 65-80 band. Among 23 initial dropouts, 15 returned voluntarily; in the 65-80 band, 10 of 16 returned. Coordination-challenge endorsement reached 71.7% and is treated as evidence that the intended frame was perceived, while regular-use intention reached 63.3% overall.</w:t>
      </w:r>
    </w:p>
    <w:p w14:paraId="1A9CCEF5" w14:textId="77777777" w:rsidR="0062437E" w:rsidRDefault="00000000">
      <w:pPr>
        <w:jc w:val="both"/>
      </w:pPr>
      <w:r>
        <w:t>The Stage-3 findings are one-sided between the two readings: the decoupled game was accepted at the levels the gamification literature predicts, a pattern consistent with the theory and the population being sound and with the coupling as the locus of the failure. They do not rule out cohort self-selection, setting, recruitment, health-status, staff-interaction or observation-window differences, so the comparison is described as a between-cohort quasi-experimental decoupling study rather than a single-variable experiment. The residual 29.3-percentage-point difference in the 65-80 band between in-session retention and regular-use intention identifies the practical problem that remained — and it is where the programme found its principal design discovery: adaptive learning, formalised in Chapter 7 as the adaptive-learning framework, as the driver that can make returning worthwhile and eventually carry the clinical purpose back into the experience.</w:t>
      </w:r>
    </w:p>
    <w:p w14:paraId="0CBC5D11" w14:textId="77777777" w:rsidR="0062437E" w:rsidRDefault="00000000">
      <w:pPr>
        <w:pStyle w:val="Heading2"/>
      </w:pPr>
      <w:bookmarkStart w:id="13" w:name="_Toc232024506"/>
      <w:r>
        <w:t>1.10 The Researcher's Position</w:t>
      </w:r>
      <w:bookmarkEnd w:id="13"/>
    </w:p>
    <w:p w14:paraId="314B1F05" w14:textId="77777777" w:rsidR="0062437E" w:rsidRDefault="00000000">
      <w:pPr>
        <w:jc w:val="both"/>
      </w:pPr>
      <w:r>
        <w:t xml:space="preserve">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w:t>
        <w:lastRenderedPageBreak/>
        <w:t>experience of the threshold moments at which a clinical frame can convert a measurement into a verdict. This experience informed the wording of every staff script in the Stage-3 decoupling condition and shaped the questions asked of the F4 cluster.</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movement from FIDS toward the provisional FIAS construct,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t>1.11 Aim and Research Questions</w:t>
      </w:r>
      <w:bookmarkEnd w:id="14"/>
    </w:p>
    <w:p w14:paraId="79876362" w14:textId="77777777" w:rsidR="0062437E" w:rsidRDefault="00000000">
      <w:pPr>
        <w:jc w:val="both"/>
      </w:pPr>
      <w:r>
        <w:t>The aim of this thesis is to explain why older adults abandon clinically attached health technology and to engineer a testable response: to identify, name and characterise failure-associated non-return in gamified FRA; to determine whether the failure belongs to gamification theory or to the coupling of game and clinical purpose; and to translate the evidence into a design framework deployable on existing infrastructure. The inquiry is structured as a null-hypothesis test with an attribution stage (H0, §2.3.5; architecture in Table 3.1), and four research questions organise the work.</w:t>
      </w:r>
    </w:p>
    <w:p w14:paraId="59FCAFB8" w14:textId="77777777" w:rsidR="0062437E" w:rsidRDefault="00000000">
      <w:pPr>
        <w:jc w:val="both"/>
      </w:pPr>
      <w:r>
        <w:t>RQ1, addressed in Stage 1: What post-contact behavioural process is insufficiently represented when TAM, STAM and Octalysis are applied to older users who report an adverse first experience with a clinically framed technology?</w:t>
      </w:r>
    </w:p>
    <w:p w14:paraId="4DEE0F1E" w14:textId="77777777" w:rsidR="0062437E" w:rsidRDefault="00000000">
      <w:pPr>
        <w:jc w:val="both"/>
      </w:pPr>
      <w:r>
        <w:t>RQ2, addressed in Stage 2: How does failure-associated non-return manifest during an eight-week gamified FRA deployment with thirty residents? How should the objective-score-improvement/non-return paradox be interpreted, and which candidate mechanisms and design responses does it motivate?</w:t>
      </w:r>
    </w:p>
    <w:p w14:paraId="40C6D39B" w14:textId="77777777" w:rsidR="0062437E" w:rsidRDefault="00000000">
      <w:pPr>
        <w:jc w:val="both"/>
      </w:pPr>
      <w:r>
        <w:t>RQ3, addressed in Stage 3: Is participant-facing decoupling associated with lower observed non-return and higher post-failure return in the predicted direction? To what extent can the result be distinguished from cohort and contextual alternatives?</w:t>
      </w:r>
    </w:p>
    <w:p w14:paraId="26B0B5C1" w14:textId="77777777" w:rsidR="0062437E" w:rsidRDefault="00000000">
      <w:pPr>
        <w:jc w:val="both"/>
      </w:pPr>
      <w:r>
        <w:t xml:space="preserve">RQ4, addressed in Chapters 7 and 9: What learning-oriented design principles follow from the combined evidence, which parts are empirically anchored, and which require </w:t>
        <w:lastRenderedPageBreak/>
        <w:t>prospective controlled validation before generalisation to other diagnostic-framed health technologies?</w:t>
      </w:r>
    </w:p>
    <w:p w14:paraId="64397BC9" w14:textId="77777777" w:rsidR="0062437E" w:rsidRDefault="00000000">
      <w:pPr>
        <w:pStyle w:val="Heading2"/>
      </w:pPr>
      <w:bookmarkStart w:id="15" w:name="_Toc232024508"/>
      <w:r>
        <w:t>1.12 Original Contributions</w:t>
      </w:r>
      <w:bookmarkEnd w:id="15"/>
    </w:p>
    <w:p w14:paraId="0C4EC396" w14:textId="77777777" w:rsidR="0062437E" w:rsidRDefault="00000000">
      <w:pPr>
        <w:jc w:val="both"/>
      </w:pPr>
      <w:r>
        <w:t>The thesis offers contributions in four registers, and Chapter 8 states them in the hierarchy the evidence supports. Theoretically, the problem finding is FIAS: failure-associated non-return as a post-contact behaviour that standard acceptance and gamification models do not represent, structured by the behavioural-economics account of Table 2.1 (loss aversion, identity-relevant endowment, mental accounting, stereotype threat — proposed as candidate mechanisms, not claimed as directly measured). The scope finding is a boundary condition for gamification theory: the theory transfers to older adults, as the Stage-3 evidence indicates, until the gamified activity is attached to a purpose-based technology whose verdicts touch the user's identity-level value propositions. The design discovery is adaptive learning as the behavioural-change driver — continuous improvement at the level of the individual user — with the adaptive-learning framework as its engineering formalisation and zero-failure presentation as a supporting element. These outputs form one architecture: FIAS explains why users disengage after failure, the adaptive-learning framework states how systems should be redesigned to prevent that disengagement, and the dynamic game-state engine of §5.3.10 operationalises the framework in real time (§7.5A). Methodologically, the thesis contributes the null-hypothesis-plus-attribution architecture (Table 3.1), the dual-purpose mechanic, the QFD evidence-to-design pipeline and the commitment-gap measurement; the AI-assisted development workflow is documented as the enabling method behind the artefact (§5.3.9), not claimed as a contribution — throughout the thesis, the AI tooling is an enabling technology, and the contribution is the behavioural design framework. Empirically, it reports the prospective rejection of H0 in Stage 2 and the theory-consistent acceptance of the decoupled game in Stage 3, with within-cohort confirmation explicitly retained as future work. Practically, it specifies the adaptive-learning principle and the adaptive-learning framework for prospective evaluation on existing infrastructure. Figure 1.1 places the contributions in a single chain from industrial problem to industrial outcome.</w:t>
      </w:r>
    </w:p>
    <w:p>
      <w:r>
        <w:drawing>
          <wp:inline>
            <wp:extent cx="5120640" cy="4122367"/>
            <wp:docPr id="28" name="Picture 28"/>
            <wp:cNvGraphicFramePr>
              <a:graphicFrameLocks noChangeAspect="1"/>
            </wp:cNvGraphicFramePr>
            <a:graphic>
              <a:graphicData uri="http://schemas.openxmlformats.org/drawingml/2006/picture">
                <pic:pic>
                  <pic:nvPicPr>
                    <pic:cNvPr id="0" name="fig_1_1.png"/>
                    <pic:cNvPicPr/>
                  </pic:nvPicPr>
                  <pic:blipFill>
                    <a:blip r:embed="rId37"/>
                    <a:stretch>
                      <a:fillRect/>
                    </a:stretch>
                  </pic:blipFill>
                  <pic:spPr>
                    <a:xfrm>
                      <a:off x="0" y="0"/>
                      <a:ext cx="5120640" cy="4122367"/>
                    </a:xfrm>
                    <a:prstGeom prst="rect"/>
                  </pic:spPr>
                </pic:pic>
              </a:graphicData>
            </a:graphic>
          </wp:inline>
        </w:drawing>
      </w:r>
    </w:p>
    <w:p>
      <w:pPr>
        <w:pStyle w:val="FigureCaption"/>
      </w:pPr>
      <w:r>
        <w:t>Figure 1.1. The intellectual structure of the thesis: an industrial problem produces an observed behavioural phenomenon (FIAS); the phenomenon motivates engineering design principles (the adaptive-learning framework); the principles are operationalised by the dynamic game-state engine; and the intended industrial outcome is sustained engagement with clinical validity preserved. The three middle layers are stated as one architecture in §7.5A.</w:t>
      </w:r>
    </w:p>
    <w:p w14:paraId="44B204BE" w14:textId="77777777" w:rsidR="0062437E" w:rsidRDefault="00000000">
      <w:pPr>
        <w:pStyle w:val="Heading2"/>
      </w:pPr>
      <w:bookmarkStart w:id="16" w:name="_Toc232024509"/>
      <w: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FIAS is not claimed to explain all non-adoption or abandonment of health technology, and "syndrome" is used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The 29.3-percentage-point commitment gap does not identify adaptive learning as its sole cause; fatigue, physical capacity, access, session burden and other motivational factors remain viable alternatives. Direct comparison of design levers and controlled evaluation of the complete adaptive-learning framework are therefore required.</w:t>
      </w:r>
    </w:p>
    <w:p w14:paraId="700C23D5" w14:textId="77777777" w:rsidR="0062437E" w:rsidRDefault="00000000">
      <w:pPr>
        <w:pStyle w:val="Heading2"/>
      </w:pPr>
      <w:bookmarkStart w:id="17" w:name="_Toc232024510"/>
      <w:r>
        <w:t>1.14 Structure of the Thesis</w:t>
      </w:r>
      <w:bookmarkEnd w:id="17"/>
    </w:p>
    <w:p w14:paraId="1CC79F23" w14:textId="77777777" w:rsidR="0062437E" w:rsidRDefault="00000000">
      <w:pPr>
        <w:jc w:val="both"/>
      </w:pPr>
      <w:r>
        <w:t>The research is organised in three progressive parts that follow the hypothesis architecture. Part I builds the test. Chapter 2 assembles the null hypothesis H0 from the acceptance and gamification literatures, names the gap those literatures leave — every Octalysis drive is a designer-side motivation lever, none addresses abandonment — and lays out the behavioural theory (Table 2.1) that will be needed when H0 fails. Chapter 3 declares the methodology: action research carrying a falsifiable hypothesis, the role of each stage (field signal, prospective test, attribution experiment), the hypothesis architecture (Table 3.1) and the confirmation-versus-discovery discipline. Part II executes it. Chapter 4 reports Stage 1, the retrospective field signal; Chapter 5 reports Stage 2, the prospective test that rejects H0; Chapter 6 reports Stage 3, the attribution experiment whose results are consistent with gamification theory, support the coupling boundary condition, and — in the commitment gap — forces the design discovery. Part III claims and bounds it. Chapter 7 formalises adaptive learning as the adaptive-learning framework; Chapter 8 states the contributions in their evidential hierarchy, with alternative explanations, limitations, ethics and reproducibility; Chapter 9 synthesises the five-step arc and sets out the pre-specified confirmatory programme.</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lastRenderedPageBreak/>
        <w:t>Chapter 2 Literature Review and Theoretical Foundation</w:t>
      </w:r>
      <w:bookmarkEnd w:id="18"/>
    </w:p>
    <w:p w14:paraId="3076D113" w14:textId="77777777" w:rsidR="0062437E" w:rsidRDefault="00000000">
      <w:pPr>
        <w:pStyle w:val="Heading2"/>
      </w:pPr>
      <w:bookmarkStart w:id="19" w:name="_Toc232024512"/>
      <w:r>
        <w:t>2.1 The Transformative Logic of the Literature Review</w:t>
      </w:r>
      <w:bookmarkEnd w:id="19"/>
    </w:p>
    <w:p w14:paraId="593F9A92" w14:textId="77777777" w:rsidR="0062437E" w:rsidRDefault="00000000">
      <w:pPr>
        <w:jc w:val="both"/>
      </w:pPr>
      <w:r>
        <w:t>This chapter is organised to do one thing: build a null hypothesis from the existing literature, and then assemble the theory needed to explain why the data of this thesis reject it. It is a progressive argument, not a neutral inventory. Each stage answers a question the previous stage leaves open, and the evidential status of every claim is stated as it is made.</w:t>
      </w:r>
    </w:p>
    <w:p w14:paraId="7819B69E" w14:textId="77777777" w:rsidR="0062437E" w:rsidRDefault="00000000">
      <w:pPr>
        <w:jc w:val="both"/>
      </w:pPr>
      <w:r>
        <w:t>Stages one and two build the null hypothesis. Stage one is the technology acceptance lineage: the Technology Acceptance Model (Davis, 1989), its extensions (TAM2, TAM3, UTAUT) and the Senior Technology Acceptance Model (Chen &amp; Chan, 2014). These models explain how intentions to use a technology form, and they direct the designer to fit the technology to the user's acceptance criteria. Stage two is gamification: Deterding et al. (2011) and Chou's Octalysis Framework (2015), with the An–Cheung studies (An, Cheung &amp; Willoughby, 2024; An, Cheung &amp; Lo, 2025) as the strongest demonstration that gamification lifts elderly intention to use. Put together, these two literatures generate a clear expectation — the null hypothesis H0, stated formally in §2.3.5: a well-designed, gamified FRA should raise acceptance and sustain use. Chapters 4 and 5 test that expectation, and the Stage-2 data reject it.</w:t>
      </w:r>
    </w:p>
    <w:p w14:paraId="0D7FB49A" w14:textId="77777777" w:rsidR="0062437E" w:rsidRDefault="00000000">
      <w:pPr>
        <w:jc w:val="both"/>
      </w:pPr>
      <w:r>
        <w:t>Stage three asks what the rejection means. Self-efficacy theory (Bandura, 1977, 1997) and the computer self-efficacy literature for older adults (Hawthorn, 2007; Broady, Chan &amp; Caputi, 2010; Tsai et al., 2020) explain why difficulty reduces persistence. They explain dropout. They do not explain why the dropout becomes permanent, and they do not explain why users whose recorded scores improved still never came back.</w:t>
      </w:r>
    </w:p>
    <w:p w14:paraId="77402C51" w14:textId="77777777" w:rsidR="0062437E" w:rsidRDefault="00000000">
      <w:pPr>
        <w:jc w:val="both"/>
      </w:pPr>
      <w:r>
        <w:t>Stage four assembles the alternative account. Prospect theory and loss aversion (Kahneman &amp; Tversky, 1979), the endowment effect on identity-relevant assets, mental accounting (Thaler, 1985) and stereotype threat (Steele &amp; Aronson, 1995) are organised — in Table 2.1 — as a structured explanation of exactly the observations that the null hypothesis cannot accommodate. This integration is the theoretical contribution of the thesis and is named FIAS. The individual operators were not directly measured in the empirical stages, and the chapter says so wherever it matters.</w:t>
      </w:r>
    </w:p>
    <w:p w14:paraId="73F11E5A" w14:textId="77777777" w:rsidR="0062437E" w:rsidRDefault="00000000">
      <w:pPr>
        <w:jc w:val="both"/>
      </w:pPr>
      <w:r>
        <w:t>Stage five turns the account into design. If failure abandons users because of what failure is made to mean, then design can change the meaning: participant-facing decoupling (tested in Stage 3) and learning-oriented adaptation (proposed as the adaptive-learning framework, for prospective testing). The chapter closes with the supporting literature and a synthesis that walks the reader from H0 to its rejection to the design response, with chapter pointers at every step.</w:t>
      </w:r>
    </w:p>
    <w:p w14:paraId="0426575D" w14:textId="77777777" w:rsidR="0062437E" w:rsidRDefault="00000000">
      <w:pPr>
        <w:pStyle w:val="Heading2"/>
      </w:pPr>
      <w:bookmarkStart w:id="20" w:name="_Toc232024513"/>
      <w:r>
        <w:t>2.2 Stage One: The Technology Acceptance Lineage</w:t>
      </w:r>
      <w:bookmarkEnd w:id="20"/>
    </w:p>
    <w:p w14:paraId="4DF23738" w14:textId="77777777" w:rsidR="0062437E" w:rsidRDefault="00000000">
      <w:pPr>
        <w:pStyle w:val="Heading3"/>
      </w:pPr>
      <w:bookmarkStart w:id="21" w:name="_Toc232024514"/>
      <w:r>
        <w:t>2.2.1 TAM and the Two-Construct Core</w:t>
      </w:r>
      <w:bookmarkEnd w:id="21"/>
    </w:p>
    <w:p w14:paraId="603D2E2B" w14:textId="77777777" w:rsidR="0062437E" w:rsidRDefault="00000000">
      <w:pPr>
        <w:jc w:val="both"/>
      </w:pPr>
      <w:r>
        <w:t>Davis (1989) argued that two constructs predict adoption of an information technology: Perceived Usefulness (PU) and Perceived Ease of Use (PEOU). The model is parsimonious. King and He (2006) confirmed predictive power across 88 studies, with effect sizes that are substantial in workplace settings. The evidence base for TAM is overwhelmingly drawn from instrumental-motivation contexts: office software, e-commerce and mobile banking. In these settings, the user's reason for engaging with the technology is external to the user's identity. Failure to use the technology costs time or money. Failure does not threaten the user's self-concept. Two further limits matter for this thesis. First, TAM's evidence base is calibrated on younger, working-age users; older adults bring different life experiences and learning patterns, so the acceptance criteria the model asks designers to satisfy are not necessarily their criteria. Second, TAM directs attention to fitting the technology's design to the user's acceptance before use begins. It has nothing to say about the user's behavioural response after use begins — least of all after an adverse first experience.</w:t>
      </w:r>
    </w:p>
    <w:p w14:paraId="262104C2" w14:textId="77777777" w:rsidR="0062437E" w:rsidRDefault="00000000">
      <w:pPr>
        <w:pStyle w:val="Heading3"/>
      </w:pPr>
      <w:bookmarkStart w:id="22" w:name="_Toc232024515"/>
      <w:r>
        <w:t>2.2.2 TAM2, TAM3 and UTAUT</w:t>
      </w:r>
      <w:bookmarkEnd w:id="22"/>
    </w:p>
    <w:p w14:paraId="5BC057D9" w14:textId="77777777" w:rsidR="0062437E" w:rsidRDefault="00000000">
      <w:pPr>
        <w:jc w:val="both"/>
      </w:pPr>
      <w:r>
        <w:t>Venkatesh and Davis (2000) extended the model to TAM2 by adding social influence and cognitive instrumental processes. Venkatesh and Bala (2008) introduced TAM3 with a richer treatment of individual-difference moderators. Venkatesh, Morris, Davis and Davis (2003) developed the Unified Theory of Acceptance and Use of Technology (UTAUT), integrating eight competing models. Each extension increases predictive power for intention to adopt. None of them contains a construct for the moment of failure that drives permanent disengagement. Each extension contains constructs for anticipated effort, anticipated facilitating conditions and anticipated rewards. None contains a construct for what happens when the technology returns a verdict that the user reads as a verdict on the user's body.</w:t>
      </w:r>
    </w:p>
    <w:p w14:paraId="7CF703B5" w14:textId="77777777" w:rsidR="0062437E" w:rsidRDefault="00000000">
      <w:pPr>
        <w:pStyle w:val="Heading3"/>
      </w:pPr>
      <w:bookmarkStart w:id="23" w:name="_Toc232024516"/>
      <w:r>
        <w:lastRenderedPageBreak/>
        <w:t>2.2.3 The Senior Technology Acceptance Model (STAM)</w:t>
      </w:r>
      <w:bookmarkEnd w:id="23"/>
    </w:p>
    <w:p w14:paraId="2B563BD4" w14:textId="77777777" w:rsidR="0062437E" w:rsidRDefault="00000000">
      <w:pPr>
        <w:jc w:val="both"/>
      </w:pPr>
      <w:r>
        <w:t>Chen and Chan (2014) developed STAM through a study of 1,012 Hong Kong Chinese seniors aged 55 and above. STAM extends TAM with five constructs particularly relevant to older users: gerontechnology self-efficacy (GSE), gerontechnology anxiety (GA), facilitating conditions, behavioural intention, and the dual subjective norms of family and peer influence. Chen and Chan reported that STAM explained 68% of the variance in self-reported gerontechnology use among their sample, a substantial improvement on TAM in the same population. Recent mapping reviews of the factors associated with older adults' intention to adopt digital technologies confirm that these constructs remain central to the field (Schroeder et al., 2023). STAM is therefore the strongest baseline available for elderly technology adoption, and it supplies five of the thirteen binary attributes in the FIAS coding scheme described in Chapter 5 and Appendix B.</w:t>
      </w:r>
    </w:p>
    <w:p w14:paraId="2641FE45" w14:textId="77777777" w:rsidR="0062437E" w:rsidRDefault="00000000">
      <w:pPr>
        <w:jc w:val="both"/>
      </w:pPr>
      <w:r>
        <w:t>STAM is nonetheless silent on the same point as TAM. STAM measures intention, and it measures it better for older users. But it does not address why older users abandon a health technology they had already accepted and begun to use. Failure-Induced Abandonment Syndrome describes a state in which intention has collapsed and stayed collapsed; STAM contains no construct for the failure moment that produces the collapse, and the Stage-2 outcomes in Chapter 5 are not predictable from STAM baseline attributes alone. Stage one of the argument is therefore well established in the literature — and boundary-marked by this silence.</w:t>
      </w:r>
    </w:p>
    <w:p w14:paraId="4CC47721" w14:textId="77777777" w:rsidR="0062437E" w:rsidRDefault="00000000">
      <w:pPr>
        <w:pStyle w:val="Heading2"/>
      </w:pPr>
      <w:bookmarkStart w:id="24" w:name="_Toc232024517"/>
      <w:r>
        <w:t>2.3 Stage Two: Gamification, Octalysis and the An–Cheung Demonstration</w:t>
      </w:r>
      <w:bookmarkEnd w:id="24"/>
    </w:p>
    <w:p w14:paraId="281B1391" w14:textId="77777777" w:rsidR="0062437E" w:rsidRDefault="00000000">
      <w:pPr>
        <w:pStyle w:val="Heading3"/>
      </w:pPr>
      <w:bookmarkStart w:id="25" w:name="_Toc232024518"/>
      <w:r>
        <w:t>2.3.1 Defining Gamification</w:t>
      </w:r>
      <w:bookmarkEnd w:id="25"/>
    </w:p>
    <w:p w14:paraId="31CA6EB4" w14:textId="77777777" w:rsidR="0062437E" w:rsidRDefault="00000000">
      <w:pPr>
        <w:jc w:val="both"/>
      </w:pPr>
      <w:r>
        <w:t>Deterding, Dixon, Khaled and Nacke (2011) defined gamification as the use of game design elements in non-game contexts. The definition is broad on purpose. Game design elements include points, badges, leaderboards, narratives, levels, challenges and feedback structures. The non-game contexts include education, health, productivity, financial services and many others. Within game studies, failure itself is treated as a designed — even valued — part of play (Juul, 2013), an observation that becomes consequential in this thesis when the same failure acquires clinical meaning. The thesis works with a strong-form gamification deployment: not points and badges layered on top of an existing system, but a complete game whose physical mechanic also feeds a measurement pathway. The gameplay and measurement functions share the same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lastRenderedPageBreak/>
        <w:t>2.3.2 The Octalysis Framework</w:t>
      </w:r>
      <w:bookmarkEnd w:id="26"/>
    </w:p>
    <w:p w14:paraId="7D734035" w14:textId="77777777" w:rsidR="0062437E" w:rsidRDefault="00000000">
      <w:pPr>
        <w:jc w:val="both"/>
      </w:pPr>
      <w:r>
        <w:t>Chou (2015) classifies game-design pull into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is widely used in gamification design practice. Octalysis is the most cited integrative gamification framework in elderly health and wellbeing applications and is the one against which the present thesis tests its own structural claims. One structural feature of the framework is decisive for this thesis, and it is the key element missing from the gamification literature this review found. All eight drives answer a designer-side question: how do I motivate a player to start playing and keep playing? Not one drive answers the user-side question this thesis confronts: what makes a player — here, an older adult in a clinical setting — stop playing and never come back, and how is that abandonment avoided? Octalysis supplies levers for building engagement; it supplies no lever, and no warning, for failure-induced abandonment. The framework is therefore adopted here as the best available design vocabulary, and simultaneously marked as incomplete for the problem under study. Section 2.6.2C returns to this point with the zero-failure design concept that this research developed in response — a concept that inverts the framework's eighth drive rather than applying it.</w:t>
      </w:r>
    </w:p>
    <w:p w14:paraId="49733281" w14:textId="77777777" w:rsidR="0062437E" w:rsidRDefault="00000000">
      <w:pPr>
        <w:pStyle w:val="Heading3"/>
      </w:pPr>
      <w:r>
        <w:t>2.3.3 An, Cheung and Willoughby (2024): Evidence for TAM-STAM-Octalysis in Elderly Gamification</w:t>
      </w:r>
    </w:p>
    <w:p>
      <w:pPr>
        <w:pStyle w:val="Normal"/>
        <w:jc w:val="both"/>
      </w:pPr>
      <w:r>
        <w:rPr>
          <w:szCs w:val="22"/>
          <w:lang w:val="en-US" w:eastAsia="en-US" w:bidi="ar-SA"/>
          <w:rFonts w:ascii="Times New Roman" w:hAnsi="Times New Roman" w:eastAsia="Times New Roman" w:cs="Times New Roman"/>
          <w:sz w:val="24"/>
        </w:rPr>
        <w:t>An, Cheung and Willoughby (2024) studied gamification for elderly mobile-payment adoption with a Hong Kong cohort. Their integrated instrument combined TAM-style measurement with gamification mechanics drawn from Octalysis. The study demonstrated that gamification mechanics, layered on top of a STAM-grounded acceptance instrument, lifted both intention to adopt and short-term engagement among older adults. An, Cheung and Lo (2025) extended the same approach to mobile maps with consistent results. Together the two studies constitute the strongest available demonstration that the TAM-STAM-Octalysis stack works in elderly gamification.</w:t>
      </w:r>
    </w:p>
    <w:p>
      <w:pPr>
        <w:pStyle w:val="Normal"/>
        <w:jc w:val="both"/>
      </w:pPr>
      <w:r>
        <w:rPr>
          <w:szCs w:val="22"/>
          <w:lang w:val="en-US" w:eastAsia="en-US" w:bidi="ar-SA"/>
          <w:rFonts w:ascii="Times New Roman" w:hAnsi="Times New Roman" w:eastAsia="Times New Roman" w:cs="Times New Roman"/>
          <w:sz w:val="24"/>
        </w:rPr>
        <w:t>The studies share two boundary conditions that the present thesis treats as load-bearing. First, mobile payments and mobile maps are not clinical or diagnostic technologies. The user's identity asset, in the sense developed at stage four below, is not at stake in the same way. Second, the An et al. studies measured initial adoption and short-term engagement; they did not document the one-way abandonment pattern that characterises FIAS. Stage two of the transformative chain therefore indicates that the TAM-STAM-Octalysis stack is empirically valid for elderly gamification — provided the technology is not attached to an artefact-based health system.</w:t>
      </w:r>
    </w:p>
    <w:p>
      <w:pPr>
        <w:pStyle w:val="Heading3"/>
      </w:pPr>
      <w:bookmarkStart w:id="27" w:name="_Toc232024521"/>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t>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registered as a question for the confirmatory study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2.3.5 The Null Hypothesis Built From Stages One and Two</w:t>
      </w:r>
    </w:p>
    <w:p>
      <w:pPr>
        <w:pStyle w:val="Normal"/>
      </w:pPr>
      <w:r>
        <w:rPr>
          <w:szCs w:val="22"/>
          <w:lang w:val="en-US" w:eastAsia="en-US" w:bidi="ar-SA"/>
          <w:rFonts w:ascii="Times New Roman" w:hAnsi="Times New Roman" w:eastAsia="Times New Roman" w:cs="Times New Roman"/>
          <w:sz w:val="24"/>
        </w:rPr>
        <w:t>Stages one and two, taken together, generate a precise expectation, and this thesis treats that expectation as its null hypothesis. The reasoning has two premises. Premise one, from the acceptance lineage: when a technology is designed to fit the user's acceptance criteria, intention to use forms and use follows (Davis, 1989; Chen &amp; Chan, 2014). Premise two, from the gamification literature: layering game mechanics onto an acceptance-compliant design lifts elderly intention and engagement further, as the An–Cheung demonstrations show (An, Cheung &amp; Willoughby, 2024; An, Cheung &amp; Lo, 2025). Applied to the InBody FRA platform, whose clinical value is established and whose deployment motivated this programme, the two premises yield:</w:t>
      </w:r>
    </w:p>
    <w:p>
      <w:pPr>
        <w:pStyle w:val="Normal"/>
      </w:pPr>
      <w:r>
        <w:rPr>
          <w:b/>
          <w:szCs w:val="22"/>
          <w:lang w:val="en-US" w:eastAsia="en-US" w:bidi="ar-SA"/>
          <w:rFonts w:ascii="Times New Roman" w:hAnsi="Times New Roman" w:eastAsia="Times New Roman" w:cs="Times New Roman"/>
          <w:sz w:val="24"/>
        </w:rPr>
        <w:t>H0 — A gamified Fall Risk Assessment that satisfies TAM/STAM acceptance criteria and implements Octalysis motivational drives will, as in the non-clinical demonstrations, improve older adults' acceptance of and intention to use the technology, and adverse first experiences will not produce lasting abandonment.</w:t>
      </w:r>
    </w:p>
    <w:p>
      <w:pPr>
        <w:pStyle w:val="Normal"/>
      </w:pPr>
      <w:r>
        <w:rPr>
          <w:szCs w:val="22"/>
          <w:lang w:val="en-US" w:eastAsia="en-US" w:bidi="ar-SA"/>
          <w:rFonts w:ascii="Times New Roman" w:hAnsi="Times New Roman" w:eastAsia="Times New Roman" w:cs="Times New Roman"/>
          <w:sz w:val="24"/>
        </w:rPr>
        <w:t>One design decision protects the test of H0 from a trivial rebuttal. The Stage-2 gamified FRA was engineered with AI assistance (Claude Code; §5.3.9) to a specification that deliberately satisfies each element of the stack: an acceptance-screened entry flow, calibrated challenge, coin rewards, levels and feedback (Octalysis D2, D4), and a natural control mapping. If abandonment nonetheless persists, H0 does not fail because the game was badly made; it fails because the theories behind it are missing something. That is exactly what the data show. Stage 1 (Chapter 4) is retrospectively consistent with the failure of H0 — roughly three-quarters of prior FRA users reported an adverse first experience and the large majority never returned. Stage 2 (Chapter 5) tests H0 prospectively and rejects it: seventy per cent of participants disengaged at or before three cycles, no re-engagement was observed within the study window, and abandonment co-occurred with improving recorded scores. The AI-assisted development vehicle changed the cost of building the game; it did not change the abandonment pattern.</w:t>
      </w:r>
    </w:p>
    <w:p>
      <w:pPr>
        <w:pStyle w:val="Normal"/>
      </w:pPr>
      <w:r>
        <w:rPr>
          <w:szCs w:val="22"/>
          <w:lang w:val="en-US" w:eastAsia="en-US" w:bidi="ar-SA"/>
          <w:rFonts w:ascii="Times New Roman" w:hAnsi="Times New Roman" w:eastAsia="Times New Roman" w:cs="Times New Roman"/>
          <w:sz w:val="24"/>
        </w:rPr>
        <w:t>The remainder of this chapter therefore has a single task: to assemble, from literatures the acceptance and gamification models do not draw on, an account of why H0 failed — and to turn that account into design propositions that Chapters 5 to 7 develop and Stage 3 begins to test.</w:t>
      </w:r>
    </w:p>
    <w:p>
      <w:pPr>
        <w:pStyle w:val="Heading2"/>
      </w:pPr>
      <w:bookmarkStart w:id="28" w:name="_Toc23202452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2.4 Stage Three: Self-Efficacy as the First Diagnostic Layer</w:t>
      </w:r>
      <w:bookmarkEnd w:id="28"/>
    </w:p>
    <w:p>
      <w:pPr>
        <w:pStyle w:val="Heading3"/>
      </w:pPr>
      <w:bookmarkStart w:id="29" w:name="_Toc232024523"/>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own capacity to succeed at a specific task (Bandura, 1977; Bandura, 1997). Bandura demonstrated that the belief is task-specific, mutable and predictive of behavioural persistence under difficulty. A failure event lowers task-specific self-efficacy, and lowered self-efficacy reduces engagement with the task that produced the failure. Self-efficacy is the canonical cognitive mechanism through which a single bad experience translates into withdrawal.</w:t>
      </w:r>
    </w:p>
    <w:p>
      <w:pPr>
        <w:pStyle w:val="Heading3"/>
      </w:pPr>
      <w:bookmarkStart w:id="30" w:name="_Toc232024524"/>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the domain-specific form of the construct developed by Compeau and Higgins (1995), is consistently lower among older adults than among younger users (Hawthorn, 2007; Broady, Chan &amp; Caputi, 2010). The asymmetry has been documented across multiple cohorts and multiple device categories. Lower baseline computer self-efficacy means that elderly users approach a new technology with a smaller reserve of confidence, and a single failure event consumes a larger proportion of that reserve than the same event would consume for a younger user. The same Stage-1 numerical signature documented above is consistent with this account.</w:t>
      </w:r>
    </w:p>
    <w:p>
      <w:pPr>
        <w:pStyle w:val="Heading3"/>
      </w:pPr>
      <w:bookmarkStart w:id="31" w:name="_Toc232024525"/>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2.4.3 The Fear-and-Failure Cycle</w:t>
      </w:r>
      <w:bookmarkEnd w:id="31"/>
    </w:p>
    <w:p>
      <w:pPr>
        <w:pStyle w:val="Normal"/>
        <w:jc w:val="both"/>
      </w:pPr>
      <w:r>
        <w:rPr>
          <w:szCs w:val="22"/>
          <w:lang w:val="en-US" w:eastAsia="en-US" w:bidi="ar-SA"/>
          <w:rFonts w:ascii="Times New Roman" w:hAnsi="Times New Roman" w:eastAsia="Times New Roman" w:cs="Times New Roman"/>
          <w:sz w:val="24"/>
        </w:rPr>
        <w:t>Tsai et al. (2020) studied older adults' acceptance of a wearable health device through an extended technology-acceptance model and documented the roles of technology anxiety and resistance to change in suppressing engagement. Anxiety about using the technology reduced intended and actual use, and early difficulty further lowered the confidence with which users approached subsequent attempts. The Tsai et al. findings are the closest published precedent for the withdrawal dynamics the present thesis observes in the F4 cluster of Stage 2, although their study is cross-sectional and does not track whether withdrawal becomes permanent.</w:t>
      </w:r>
    </w:p>
    <w:p>
      <w:pPr>
        <w:pStyle w:val="Heading3"/>
      </w:pPr>
      <w:bookmarkStart w:id="32" w:name="_Toc232024526"/>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2.5 Stage Four: Behavioural Science as a Candidate FIAS Account</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2.5.1 Why Behavioural Science Is Required</w:t>
      </w:r>
    </w:p>
    <w:p>
      <w:pPr>
        <w:pStyle w:val="Normal"/>
        <w:jc w:val="both"/>
      </w:pPr>
      <w:r>
        <w:rPr>
          <w:szCs w:val="22"/>
          <w:lang w:val="en-US" w:eastAsia="en-US" w:bidi="ar-SA"/>
          <w:rFonts w:ascii="Times New Roman" w:hAnsi="Times New Roman" w:eastAsia="Times New Roman" w:cs="Times New Roman"/>
          <w:sz w:val="24"/>
        </w:rPr>
        <w:t>The transition from self-efficacy to behavioural economics is the substantive theoretical move of the thesis, and its structure follows directly from the rejected null hypothesis. Self-efficacy explains reduced persistence after difficulty, and it also allows recovery — so it cannot, on its own, account for what Stage 2 observed. Three observations from the rejection of H0 need explaining: first failure carried far more behavioural weight than the design predicted; exits persisted even when recorded scores improved; and the same gameplay event appears to mean something different under a clinical frame than under a game frame. Table 2.1 maps each observation onto the behavioural theory recruited to explain it, the construct that theory contributes to FIAS, and the testable prediction it generates. The subsections that follow develop each row. The operators were not directly measured in the present studies; the table is the structure that future measurement (§3.6) is designed to fill.</w:t>
      </w:r>
    </w:p>
    <w:p>
      <w:pPr>
        <w:pStyle w:val="FigureCaption"/>
      </w:pPr>
      <w:r>
        <w:rPr>
          <w:sz w:val="22"/>
          <w:szCs w:val="22"/>
          <w:lang w:val="en-US" w:eastAsia="en-US" w:bidi="ar-SA"/>
          <w:rFonts w:ascii="Times New Roman" w:hAnsi="Times New Roman" w:eastAsia="Times New Roman" w:cs="Times New Roman"/>
          <w:i/>
        </w:rPr>
        <w:t>Table 2.1. From the rejected null hypothesis to candidate mechanisms: the structure of the FIAS account.</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pPr>
              <w:pStyle w:val="Normal"/>
            </w:pPr>
            <w:r>
              <w:rPr>
                <w:b/>
                <w:sz w:val="20"/>
                <w:szCs w:val="22"/>
                <w:lang w:val="en-US" w:eastAsia="en-US" w:bidi="ar-SA"/>
                <w:rFonts w:ascii="Times New Roman" w:hAnsi="Times New Roman" w:eastAsia="Times New Roman" w:cs="Times New Roman"/>
              </w:rPr>
              <w:t>Observation H0 cannot explain</w:t>
            </w:r>
          </w:p>
        </w:tc>
        <w:tc>
          <w:tcPr>
            <w:tcW w:type="dxa" w:w="2126"/>
          </w:tcPr>
          <w:p>
            <w:pPr>
              <w:pStyle w:val="Normal"/>
            </w:pPr>
            <w:r>
              <w:rPr>
                <w:b/>
                <w:sz w:val="20"/>
                <w:szCs w:val="22"/>
                <w:lang w:val="en-US" w:eastAsia="en-US" w:bidi="ar-SA"/>
                <w:rFonts w:ascii="Times New Roman" w:hAnsi="Times New Roman" w:eastAsia="Times New Roman" w:cs="Times New Roman"/>
              </w:rPr>
              <w:t>Behavioural theory</w:t>
            </w:r>
          </w:p>
        </w:tc>
        <w:tc>
          <w:tcPr>
            <w:tcW w:type="dxa" w:w="2126"/>
          </w:tcPr>
          <w:p>
            <w:pPr>
              <w:pStyle w:val="Normal"/>
            </w:pPr>
            <w:r>
              <w:rPr>
                <w:b/>
                <w:sz w:val="20"/>
                <w:szCs w:val="22"/>
                <w:lang w:val="en-US" w:eastAsia="en-US" w:bidi="ar-SA"/>
                <w:rFonts w:ascii="Times New Roman" w:hAnsi="Times New Roman" w:eastAsia="Times New Roman" w:cs="Times New Roman"/>
              </w:rPr>
              <w:t>Construct contributed to FIAS</w:t>
            </w:r>
          </w:p>
        </w:tc>
        <w:tc>
          <w:tcPr>
            <w:tcW w:type="dxa" w:w="2126"/>
          </w:tcPr>
          <w:p>
            <w:pPr>
              <w:pStyle w:val="Normal"/>
            </w:pPr>
            <w:r>
              <w:rPr>
                <w:b/>
                <w:sz w:val="20"/>
                <w:szCs w:val="22"/>
                <w:lang w:val="en-US" w:eastAsia="en-US" w:bidi="ar-SA"/>
                <w:rFonts w:ascii="Times New Roman" w:hAnsi="Times New Roman" w:eastAsia="Times New Roman" w:cs="Times New Roman"/>
              </w:rPr>
              <w:t>Prediction generated</w:t>
            </w:r>
          </w:p>
        </w:tc>
      </w:tr>
      <w:tr>
        <w:tc>
          <w:tcPr>
            <w:tcW w:type="dxa" w:w="2126"/>
          </w:tcPr>
          <w:p>
            <w:pPr>
              <w:pStyle w:val="Normal"/>
            </w:pPr>
            <w:r>
              <w:rPr>
                <w:sz w:val="20"/>
                <w:szCs w:val="22"/>
                <w:lang w:val="en-US" w:eastAsia="en-US" w:bidi="ar-SA"/>
                <w:rFonts w:ascii="Times New Roman" w:hAnsi="Times New Roman" w:eastAsia="Times New Roman" w:cs="Times New Roman"/>
              </w:rPr>
              <w:t>A single adverse first experience outweighs the design's motivational pull</w:t>
            </w:r>
          </w:p>
        </w:tc>
        <w:tc>
          <w:tcPr>
            <w:tcW w:type="dxa" w:w="2126"/>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26"/>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126"/>
          </w:tcPr>
          <w:p>
            <w:pPr>
              <w:pStyle w:val="Normal"/>
            </w:pPr>
            <w:r>
              <w:rPr>
                <w:sz w:val="20"/>
                <w:szCs w:val="22"/>
                <w:lang w:val="en-US" w:eastAsia="en-US" w:bidi="ar-SA"/>
                <w:rFonts w:ascii="Times New Roman" w:hAnsi="Times New Roman" w:eastAsia="Times New Roman" w:cs="Times New Roman"/>
              </w:rPr>
              <w:t>First failure is associated with early disengagement (H1, Chapter 5)</w:t>
            </w:r>
          </w:p>
        </w:tc>
      </w:tr>
      <w:tr>
        <w:tc>
          <w:tcPr>
            <w:tcW w:type="dxa" w:w="2126"/>
          </w:tcPr>
          <w:p>
            <w:pPr>
              <w:pStyle w:val="Normal"/>
            </w:pPr>
            <w:r>
              <w:rPr>
                <w:sz w:val="20"/>
                <w:szCs w:val="22"/>
                <w:lang w:val="en-US" w:eastAsia="en-US" w:bidi="ar-SA"/>
                <w:rFonts w:ascii="Times New Roman" w:hAnsi="Times New Roman" w:eastAsia="Times New Roman" w:cs="Times New Roman"/>
              </w:rPr>
              <w:t>Exit persists even when the recorded score improves</w:t>
            </w:r>
          </w:p>
        </w:tc>
        <w:tc>
          <w:tcPr>
            <w:tcW w:type="dxa" w:w="2126"/>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26"/>
          </w:tcPr>
          <w:p>
            <w:pPr>
              <w:pStyle w:val="Normal"/>
            </w:pPr>
            <w:r>
              <w:rPr>
                <w:sz w:val="20"/>
                <w:szCs w:val="22"/>
                <w:lang w:val="en-US" w:eastAsia="en-US" w:bidi="ar-SA"/>
                <w:rFonts w:ascii="Times New Roman" w:hAnsi="Times New Roman" w:eastAsia="Times New Roman" w:cs="Times New Roman"/>
              </w:rPr>
              <w:t>Identity-relevant endowment: exit protects a valued self-description from revaluation</w:t>
            </w:r>
          </w:p>
        </w:tc>
        <w:tc>
          <w:tcPr>
            <w:tcW w:type="dxa" w:w="2126"/>
          </w:tcPr>
          <w:p>
            <w:pPr>
              <w:pStyle w:val="Normal"/>
            </w:pPr>
            <w:r>
              <w:rPr>
                <w:sz w:val="20"/>
                <w:szCs w:val="22"/>
                <w:lang w:val="en-US" w:eastAsia="en-US" w:bidi="ar-SA"/>
                <w:rFonts w:ascii="Times New Roman" w:hAnsi="Times New Roman" w:eastAsia="Times New Roman" w:cs="Times New Roman"/>
              </w:rPr>
              <w:t>Objective improvement does not by itself produce return (H4 — the improvement/non-return paradox)</w:t>
            </w:r>
          </w:p>
        </w:tc>
      </w:tr>
      <w:tr>
        <w:tc>
          <w:tcPr>
            <w:tcW w:type="dxa" w:w="2126"/>
          </w:tcPr>
          <w:p>
            <w:pPr>
              <w:pStyle w:val="Normal"/>
            </w:pPr>
            <w:r>
              <w:rPr>
                <w:sz w:val="20"/>
                <w:szCs w:val="22"/>
                <w:lang w:val="en-US" w:eastAsia="en-US" w:bidi="ar-SA"/>
                <w:rFonts w:ascii="Times New Roman" w:hAnsi="Times New Roman" w:eastAsia="Times New Roman" w:cs="Times New Roman"/>
              </w:rPr>
              <w:t>The same event means different things under different frames</w:t>
            </w:r>
          </w:p>
        </w:tc>
        <w:tc>
          <w:tcPr>
            <w:tcW w:type="dxa" w:w="2126"/>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26"/>
          </w:tcPr>
          <w:p>
            <w:pPr>
              <w:pStyle w:val="Normal"/>
            </w:pPr>
            <w:r>
              <w:rPr>
                <w:sz w:val="20"/>
                <w:szCs w:val="22"/>
                <w:lang w:val="en-US" w:eastAsia="en-US" w:bidi="ar-SA"/>
                <w:rFonts w:ascii="Times New Roman" w:hAnsi="Times New Roman" w:eastAsia="Times New Roman" w:cs="Times New Roman"/>
              </w:rPr>
              <w:t>Clinical framing sorts the session into a high-stakes health account</w:t>
            </w:r>
          </w:p>
        </w:tc>
        <w:tc>
          <w:tcPr>
            <w:tcW w:type="dxa" w:w="2126"/>
          </w:tcPr>
          <w:p>
            <w:pPr>
              <w:pStyle w:val="Normal"/>
            </w:pPr>
            <w:r>
              <w:rPr>
                <w:sz w:val="20"/>
                <w:szCs w:val="22"/>
                <w:lang w:val="en-US" w:eastAsia="en-US" w:bidi="ar-SA"/>
                <w:rFonts w:ascii="Times New Roman" w:hAnsi="Times New Roman" w:eastAsia="Times New Roman" w:cs="Times New Roman"/>
              </w:rPr>
              <w:t>Removing participant-facing clinical framing increases post-failure return (H5, Stage 3)</w:t>
            </w:r>
          </w:p>
        </w:tc>
      </w:tr>
      <w:tr>
        <w:tc>
          <w:tcPr>
            <w:tcW w:type="dxa" w:w="2126"/>
          </w:tcPr>
          <w:p>
            <w:pPr>
              <w:pStyle w:val="Normal"/>
            </w:pPr>
            <w:r>
              <w:rPr>
                <w:sz w:val="20"/>
                <w:szCs w:val="22"/>
                <w:lang w:val="en-US" w:eastAsia="en-US" w:bidi="ar-SA"/>
                <w:rFonts w:ascii="Times New Roman" w:hAnsi="Times New Roman" w:eastAsia="Times New Roman" w:cs="Times New Roman"/>
              </w:rPr>
              <w:t>Clinical and age-related cues amplify the meaning of failure</w:t>
            </w:r>
          </w:p>
        </w:tc>
        <w:tc>
          <w:tcPr>
            <w:tcW w:type="dxa" w:w="2126"/>
          </w:tcPr>
          <w:p>
            <w:pPr>
              <w:pStyle w:val="Normal"/>
            </w:pPr>
            <w:r>
              <w:rPr>
                <w:sz w:val="20"/>
                <w:szCs w:val="22"/>
                <w:lang w:val="en-US" w:eastAsia="en-US" w:bidi="ar-SA"/>
                <w:rFonts w:ascii="Times New Roman" w:hAnsi="Times New Roman" w:eastAsia="Times New Roman" w:cs="Times New Roman"/>
              </w:rPr>
              <w:t>Stereotype threat (Steele &amp; Aronson, 1995; Levy et al., 2002)</w:t>
            </w:r>
          </w:p>
        </w:tc>
        <w:tc>
          <w:tcPr>
            <w:tcW w:type="dxa" w:w="2126"/>
          </w:tcPr>
          <w:p>
            <w:pPr>
              <w:pStyle w:val="Normal"/>
            </w:pPr>
            <w:r>
              <w:rPr>
                <w:sz w:val="20"/>
                <w:szCs w:val="22"/>
                <w:lang w:val="en-US" w:eastAsia="en-US" w:bidi="ar-SA"/>
                <w:rFonts w:ascii="Times New Roman" w:hAnsi="Times New Roman" w:eastAsia="Times New Roman" w:cs="Times New Roman"/>
              </w:rPr>
              <w:t>Salience of age-related decline as the trigger of identity-relevant appraisal</w:t>
            </w:r>
          </w:p>
        </w:tc>
        <w:tc>
          <w:tcPr>
            <w:tcW w:type="dxa" w:w="2126"/>
          </w:tcPr>
          <w:p>
            <w:pPr>
              <w:pStyle w:val="Normal"/>
            </w:pPr>
            <w:r>
              <w:rPr>
                <w:sz w:val="20"/>
                <w:szCs w:val="22"/>
                <w:lang w:val="en-US" w:eastAsia="en-US" w:bidi="ar-SA"/>
                <w:rFonts w:ascii="Times New Roman" w:hAnsi="Times New Roman" w:eastAsia="Times New Roman" w:cs="Times New Roman"/>
              </w:rPr>
              <w:t>Threat-reduced framing and coaching improve retry and return (the adaptive-learning framework, Chapter 7)</w:t>
            </w:r>
          </w:p>
        </w:tc>
      </w:tr>
      <w:tr>
        <w:tc>
          <w:tcPr>
            <w:tcW w:type="dxa" w:w="2126"/>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2126"/>
          </w:tcPr>
          <w:p>
            <w:pPr>
              <w:pStyle w:val="Normal"/>
            </w:pPr>
            <w:r>
              <w:rPr>
                <w:sz w:val="20"/>
                <w:szCs w:val="22"/>
                <w:lang w:val="en-US" w:eastAsia="en-US" w:bidi="ar-SA"/>
                <w:rFonts w:ascii="Times New Roman" w:hAnsi="Times New Roman" w:eastAsia="Times New Roman" w:cs="Times New Roman"/>
              </w:rPr>
              <w:t>Octalysis D8 inverted: zero-failure design (§2.6.2C, from this research's observations)</w:t>
            </w:r>
          </w:p>
        </w:tc>
        <w:tc>
          <w:tcPr>
            <w:tcW w:type="dxa" w:w="2126"/>
          </w:tcPr>
          <w:p>
            <w:pPr>
              <w:pStyle w:val="Normal"/>
            </w:pPr>
            <w:r>
              <w:rPr>
                <w:sz w:val="20"/>
                <w:szCs w:val="22"/>
                <w:lang w:val="en-US" w:eastAsia="en-US" w:bidi="ar-SA"/>
                <w:rFonts w:ascii="Times New Roman" w:hAnsi="Times New Roman" w:eastAsia="Times New Roman" w:cs="Times New Roman"/>
              </w:rPr>
              <w:t>The operative loss is identity-level, outside the game's ledger; verdict cues, not in-game losses, carry it</w:t>
            </w:r>
          </w:p>
        </w:tc>
        <w:tc>
          <w:tcPr>
            <w:tcW w:type="dxa" w:w="2126"/>
          </w:tcPr>
          <w:p>
            <w:pPr>
              <w:pStyle w:val="Normal"/>
            </w:pPr>
            <w:r>
              <w:rPr>
                <w:sz w:val="20"/>
                <w:szCs w:val="22"/>
                <w:lang w:val="en-US" w:eastAsia="en-US" w:bidi="ar-SA"/>
                <w:rFonts w:ascii="Times New Roman" w:hAnsi="Times New Roman" w:eastAsia="Times New Roman" w:cs="Times New Roman"/>
              </w:rPr>
              <w:t>Removing terminal failure verdicts (zero-failure states, §5.3.10) plus decoupling increases retry and return (the adaptive-learning framework, Chapter 7; isolated test in §8.8)</w:t>
            </w:r>
          </w:p>
        </w:tc>
      </w:tr>
    </w:tbl>
    <w:p>
      <w:pPr>
        <w:pStyle w:val="Heading3"/>
      </w:pPr>
      <w:bookmarkStart w:id="33" w:name="_Toc232024529"/>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Kahneman, Knetsch and Thaler (1990) demonstrated it experimentally through repeated tests of the asymmetry between Willingness To Accept (WTA) and Willingness To Pay (WTP) for the same object. Once a person owns an asset, the WTA they require to give it up is systematically higher than the WTP they would offer to acquire it. The asymmetry is robust, replicates across many object classes and is one of the most reliable findings in behavioural economics.</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Subsequent work has extended stereotype-threat questions to ageing — self-perceptions of ageing predict long-term health outcomes (Levy et al., 2002), identity salience alters older adults' performance on identity-relevant tasks (McGlone &amp; Aronson, 2006), and age-based stereotype threat about cognitive decline has been reviewed systematically (Barber, 2017) — although effects vary by task, context and measurement. In the present framework, clinical FRA language may increase the salience of age-related decline for some users, thereby changing how failure is interpreted. Stereotype threat is therefore proposed as one possible trigger within the wider frame-sensitive account. The present studies did not measure stereotype activation directly, and the Stage-3 result cannot distinguish lexical threat reduction from other procedural, recruitment or contextual differences.</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2.5.6 A Four-Layer Behavioural Integration Proposed for FIAS</w:t>
      </w:r>
    </w:p>
    <w:p>
      <w:pPr>
        <w:pStyle w:val="Normal"/>
        <w:jc w:val="both"/>
      </w:pPr>
      <w:r>
        <w:rPr>
          <w:szCs w:val="22"/>
          <w:lang w:val="en-US" w:eastAsia="en-US" w:bidi="ar-SA"/>
          <w:rFonts w:ascii="Times New Roman" w:hAnsi="Times New Roman" w:eastAsia="Times New Roman" w:cs="Times New Roman"/>
          <w:sz w:val="24"/>
        </w:rPr>
        <w:t>The four behavioural-science layers form a coherent candidate explanation. Loss aversion supplies asymmetric weighting of unfavourable information; identity-relevant endowment supplies a possible protected self-concept; mental accounting supplies a possible sorting rule by which clinical framing increases the stakes of the event; and stereotype threat supplies one possible contextual trigger. FIAS is the conceptual label assigned to the resulting pattern of failure-associated active non-return. The integration is theoretically generative because it yields measurable predictions, but it is not yet a validated latent construct or a clinical syndrome. Direct measures of appraisal, identity threat, account framing and WTA-WTP asymmetry are required before the mechanism can be claimed as established.</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2.6 Stage Five: Positioning Decoupled Gameplay and Adaptive Learning as Design Responses</w:t>
      </w:r>
    </w:p>
    <w:p>
      <w:pPr>
        <w:pStyle w:val="Heading3"/>
      </w:pPr>
      <w:bookmarkStart w:id="37" w:name="_Toc232024535"/>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 (2008) introduced productive failure as an instructional design principle in which difficulty and unsuccessful attempts can contribute to later learning when appropriately structured. Adaptive learning extends the design logic by adjusting challenge, feedback and pacing to the learner's evolving performance. In the present thesis, a trajectory frame is proposed so that any single event is interpreted relative to change over time rather than as a final judgement. This is a design hypothesis about appraisal; it does not require the user's entire self-concept to be constituted by the trajectory.</w:t>
      </w:r>
    </w:p>
    <w:p>
      <w:pPr>
        <w:pStyle w:val="Heading3"/>
      </w:pPr>
      <w:bookmarkStart w:id="39" w:name="_Toc232024537"/>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Adaptive learning is not a single technique but a convergence of four established traditions, and naming them explicitly matters because it fixes what the adaptive-learning framework response in Chapter 7 inherits and what it adds. The first tradition is the flow account of optimal experience (Csikszentmihalyi, 1990). Flow arises when the challenge of an activity is matched to the skill of the person attempting it: too little challenge produces boredom, too much produces anxiety, and the narrow band between the two sustains absorbed engagement. The flow band is the operational target of the Stage-2 Layer-2 difficulty system (§5.3.5), whose 80 per cent and 40 per cent success thresholds are a direct implementation of the challenge–skill match. The second tradition is the zone of proximal development (Vygotsky, 1978): learning is most effective at the frontier between what the learner can already do unaided and what they can do with support, and effective instruction continuously relocates that frontier as the learner advances. A learning curve, in this tradition, is not a metaphor but the object of instructional design. The third tradition is desirable difficulty (Bjork &amp; Bjork, 2011): conditions that slow apparent performance during practice — spacing, interleaving, retrieval under effort — improve durable learning, which reframes within-session failure as a feature of an effective curve rather than as evidence of inadequacy. The fourth tradition is the empirical record of intelligent tutoring systems (VanLehn, 2011), which demonstrates that fine-grained, step-level adaptation of feedback and pacing produces learning gains approaching those of human one-to-one tutoring. The four traditions converge on a single design instruction: present the activity as a curve, calibrate the difficulty so the learner stays on the curve, and treat each failure as information about the curve rather than as a verdict on the learner.</w:t>
      </w:r>
    </w:p>
    <w:p>
      <w:pPr>
        <w:pStyle w:val="Normal"/>
        <w:jc w:val="both"/>
      </w:pPr>
      <w:r>
        <w:rPr>
          <w:szCs w:val="22"/>
          <w:lang w:val="en-US" w:eastAsia="en-US" w:bidi="ar-SA"/>
          <w:rFonts w:ascii="Times New Roman" w:hAnsi="Times New Roman" w:eastAsia="Times New Roman" w:cs="Times New Roman"/>
          <w:sz w:val="24"/>
        </w:rPr>
        <w:t>Together, these traditions support treating adaptive learning as more than an adaptive difficulty algorithm. Flow informs moment-to-moment challenge calibration; the zone of proximal development informs the location of the next achievable step; desirable difficulty cautions against removing all challenge; and intelligent tutoring research demonstrates the value of fine-grained adaptation. The thesis combines these ideas into a trajectory-oriented design proposition. Whether this proposition reduces identity threat or non-return in FRA must be tested directly; the Stage-3 decoupling result alone cannot establish that effect.</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Two established motivation literatures support the trajectory-installation principle that Chapter 7 develops. Self-determination theory (Deci &amp; Ryan, 1985; Ryan &amp; Deci, 2000) identifies competence and autonomy as basic psychological needs. A user who reads performance against an evolving personal capability receives competence feedback; a user who reads performance against a fixed clinical verdict does not. The trajectory frame is therefore a competence-support structure in self-determination terms. Goal-setting theory (Locke &amp; Latham, 2002) adds a second scaffold: specific, proximal and adjustable goals sustain effort better than vague or static ones, and the related distinction between mastery goals and performance goals (Elliot &amp; Murayama, 2008) sharpens the point: a goal defined by personal improvement invites a different reading of failure than a goal defined by demonstrated adequacy. The adaptive calibration principle operationalises exactly this, because the difficulty layer keeps the next goal specific and reachable as capability changes. Motivation-crowding research adds a design caution: extrinsic rewards that are introduced clumsily can displace rather than support intrinsic motivation (Frey &amp; Jegen, 2001), which is why the learn-to-earn philosophy treats rewards as recognition of progress along the curve rather than as payment for compliance. Neither literature predicts the abandonment cliff that FIAS names. Both literatures predict why the trajectory frame, once installed, should hold engagement. They scaffold the design response; they do not substitute for the coupling mechanism that explains the collapse.</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2.6.2C Zero-Failure Design: A Research-Generated Concept That Inverts Octalysis D8</w:t>
      </w:r>
    </w:p>
    <w:p>
      <w:pPr>
        <w:pStyle w:val="Normal"/>
      </w:pPr>
      <w:r>
        <w:rPr>
          <w:szCs w:val="22"/>
          <w:lang w:val="en-US" w:eastAsia="en-US" w:bidi="ar-SA"/>
          <w:rFonts w:ascii="Times New Roman" w:hAnsi="Times New Roman" w:eastAsia="Times New Roman" w:cs="Times New Roman"/>
          <w:sz w:val="24"/>
        </w:rPr>
        <w:t>Zero-failure design is a supporting design element of this thesis, not a core contribution. It was not found in the literature; it emerged from the field observations, and it became practical to build and test only because AI-assisted development made game-mechanic iteration cheap (§5.3.9). It is stated here because it disrupts an assumption of the framework this chapter reviews, and because the thesis's central design proposition — adaptive learning (§2.6.2A–B) — subsumes it. The concept is simple: in a clinically framed activity for older adults, the game must contain no terminal failure verdict. There is no Game Over screen, no lives-exhausted ending and no fail-state label; a collision or an error becomes an input to adaptation — the environment eases, the run continues — while challenge and truthful performance feedback are preserved. Zero-failure design is not challenge-free design (the desirable-difficulty literature of §2.6.2A warns against that) and it is not concealment (§8.7.2): it removes verdicts, not information.</w:t>
      </w:r>
    </w:p>
    <w:p>
      <w:pPr>
        <w:pStyle w:val="Normal"/>
      </w:pPr>
      <w:r>
        <w:rPr>
          <w:szCs w:val="22"/>
          <w:lang w:val="en-US" w:eastAsia="en-US" w:bidi="ar-SA"/>
          <w:rFonts w:ascii="Times New Roman" w:hAnsi="Times New Roman" w:eastAsia="Times New Roman" w:cs="Times New Roman"/>
          <w:sz w:val="24"/>
        </w:rPr>
        <w:t>The concept inverts the eighth Octalysis drive. Chou (2015) treats Loss and Avoidance as a motivational lever the designer should use: fear of losing progress, streaks or assets keeps players playing. The observations of this programme point the other way for older users in clinical frames. The loss that governs their behaviour is not the in-game loss the framework manipulates; it is an identity-level loss — the threatened revaluation of a valued self-description — that sits entirely outside the game's ledger (§2.5.3). Where the framework says amplify loss salience to drive engagement, zero-failure design says remove loss presentation because the player is already carrying a loss the designer cannot see. To the author's knowledge, no elderly-gamification study states this inversion. It is recorded as an observation-driven design element in support of the thesis's central design proposition, adaptive learning, rather than as a headline contribution in its own right.</w:t>
      </w:r>
    </w:p>
    <w:p>
      <w:pPr>
        <w:pStyle w:val="Normal"/>
      </w:pPr>
      <w:r>
        <w:rPr>
          <w:szCs w:val="26"/>
          <w:lang w:val="en-US" w:eastAsia="en-US" w:bidi="ar-SA"/>
          <w:rFonts w:ascii="Times New Roman" w:hAnsi="Times New Roman" w:eastAsia="Times New Roman" w:cs="Times New Roman"/>
          <w:sz w:val="28"/>
          <w:b/>
        </w:rPr>
        <w:t>The evidential status of the concept must be stated carefully, in three steps. First, the Stage-2 build already softened the in-game loss economy substantially — three lives, a neutral first hit, an obstacle-clearing second hit (Table 5.0) — yet retained a conventional terminal Game Over, and FIAS occurred regardless: seventy per cent early disengagement and no observed return (Chapter 5). Softening in-game loss alone was therefore insufficient, which is precisely what the identity-level account predicts. Second, this motivated the complete zero-failure repertoire — non-terminal recovery, mastery, narrative and reframe states — specified at §5.3.10 and implemented in the successor short-run build used for the Stage-3 apparatus lineage. Third, Stage 3 changed the participant-facing frame and the cohort together, so the isolated causal effect of the zero-failure component has not yet been measured; observed non-return fell to 6.7 per cent overall, but a residual non-return and the 29.3-percentage-point commitment gap remained. Zero-failure design is therefore a moderator within the FIAS account and a testable component of the adaptive-learning framework (Chapter 7), not a demonstrated cure; its isolated evaluation is pre-specified in the randomised study of §8.8.</w:t>
      </w:r>
    </w:p>
    <w:p>
      <w:pPr>
        <w:pStyle w:val="Heading3"/>
      </w:pPr>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8"/>
          <w:b/>
        </w:rPr>
        <w:t>The thesis proposes that endowment-protective appraisal and learning-trajectory appraisal compete for interpretive dominance at the moment of failure. Under the first appraisal, an adverse result is read against a valued, relatively stable self-description and may be experienced as a loss. Under the second, the same result is read as information about current position, slope and next action. These appraisals need not be psychologically mutually exclusive: a person may experience both, move between them, or resolve their conflict differently across contexts. The engineering objective is therefore not to "dissolve" identity, but to increase the salience and credibility of the trajectory interpretation while preserving autonomy and truthful disclosure. The WTA-WTP implications are hypotheses for direct elicitation, not quantities estimated in the present studies.</w:t>
      </w:r>
    </w:p>
    <w:p>
      <w:pPr>
        <w:pStyle w:val="Heading3"/>
      </w:pPr>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8"/>
          <w:b/>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The increase from 0 of 21 observed Stage-2 re-engagements to 10 of 16 returns among initial dropouts in the Stage-3 65-80 group is a large directional signal. It supports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8"/>
          <w:b/>
        </w:rPr>
        <w:t>The five-stage chain therefore closes conceptually rather than through one definitive causal test. Technology acceptance and gamification describe important parts of the engagement surface. Self-efficacy offers a mechanism for withdrawal after difficulty. Behavioural economics supplies candidate explanations for identity-relevant non-return. Stage 3 provides convergent evidence that participant-facing decoupling is associated with substantially greater post-failure return. Adaptive learning and the adaptive-learning framework translate those observations into a falsifiable engineering programme. The later chapters preserve this hierarchy between established literature, observed results, inferred mechanisms and proposed design responses.</w:t>
      </w:r>
    </w:p>
    <w:p>
      <w:pPr>
        <w:pStyle w:val="Heading2"/>
      </w:pPr>
      <w:bookmarkStart w:id="40" w:name="_Toc23202454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2.7 Supporting Evidence and Adjacent Frameworks</w:t>
      </w:r>
      <w:bookmarkEnd w:id="40"/>
    </w:p>
    <w:p>
      <w:pPr>
        <w:pStyle w:val="Heading3"/>
      </w:pPr>
      <w:bookmarkStart w:id="41" w:name="_Toc232024541"/>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8"/>
          <w:b/>
        </w:rPr>
        <w:t>Koivisto and Malik (2021) reviewed the gamification-for-older-adults literature systematically across twelve included studies. Three findings from the review bear on the present thesis. First, the field is dominated by short-duration intervention studies; long-term engagement evidence is sparse. Second, attrition — the ‘law of attrition’ by which digital-health evaluations lose a large share of their users (Eysenbach, 2005) — is consistently reported but rarely analysed as a primary outcome; studies report engagement gains in completers but rarely document the structure of dropout. Third, theoretical grounding is uneven; many studies use ad hoc design heuristics rather than coherent theoretical frames. The thesis is positioned to address each of these gaps. Stage 2 documents an eight-week deployment with a complete dropout audit. Stage 3 documents a 120-participant decoupling study with retention as the primary outcome. The theoretical frame is integrated and explicit throughout.</w:t>
      </w:r>
    </w:p>
    <w:p>
      <w:pPr>
        <w:pStyle w:val="Normal"/>
        <w:jc w:val="both"/>
      </w:pPr>
      <w:r>
        <w:rPr>
          <w:szCs w:val="26"/>
          <w:lang w:val="en-US" w:eastAsia="en-US" w:bidi="ar-SA"/>
          <w:rFonts w:ascii="Times New Roman" w:hAnsi="Times New Roman" w:eastAsia="Times New Roman" w:cs="Times New Roman"/>
          <w:sz w:val="28"/>
          <w:b/>
        </w:rPr>
        <w:t>Altmeyer, Lessel and Krüger (2018) studied gamification for users aged 75 and above and found that mechanics borrowed from younger-adult gamification did not transfer cleanly. Their findings reinforce the argument that elderly users in clinical contexts require a different theoretical frame and a different design vocabulary.</w:t>
      </w:r>
    </w:p>
    <w:p>
      <w:pPr>
        <w:pStyle w:val="Heading3"/>
      </w:pPr>
      <w:bookmarkStart w:id="42" w:name="_Toc232024542"/>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2.7.2 The NASSS Framework: Documented Abandonment Without a Mechanism</w:t>
      </w:r>
      <w:bookmarkEnd w:id="42"/>
    </w:p>
    <w:p>
      <w:pPr>
        <w:pStyle w:val="Normal"/>
        <w:jc w:val="both"/>
      </w:pPr>
      <w:r>
        <w:rPr>
          <w:szCs w:val="26"/>
          <w:lang w:val="en-US" w:eastAsia="en-US" w:bidi="ar-SA"/>
          <w:rFonts w:ascii="Times New Roman" w:hAnsi="Times New Roman" w:eastAsia="Times New Roman" w:cs="Times New Roman"/>
          <w:sz w:val="28"/>
          <w:b/>
        </w:rPr>
        <w:t>Greenhalgh et al. (2017) introduced the Non-Adoption, Abandonment, Scale-up, Spread and Sustainability (NASSS) framework for health and care technologies. NASSS catalogues forms of non-adoption and abandonment across condition, technology, value proposition, adopter system, organisation, wider context, and embedding over time. The human-computer-interaction literature makes the complementary point that non-use is itself meaningful behaviour rather than a mere absence of use (Satchell &amp; Dourish, 2009). The present thesis can be read as proposing one candidate micro-mechanism within the adopter-system domain: failure-associated non-return that may be amplified when a clinical frame makes performance identity-relevant. NASSS supplies a macro-level vocabulary; FIAS remains a provisional mechanism-level construct requiring independent validation.</w:t>
      </w:r>
    </w:p>
    <w:p>
      <w:pPr>
        <w:pStyle w:val="Heading3"/>
      </w:pPr>
      <w:bookmarkStart w:id="43" w:name="_Toc232024543"/>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8"/>
          <w:b/>
        </w:rPr>
        <w:t>Park et al. (2019) and Kim et al. (2018) are used in this thesis as a cross-cultural reference point for the same FRA technology: the former validates the system against gold-standard balance batteries, the latter establishes its test-retest reliability, and both evidence sustained institutional use in Korea. Neither reports an engagement rate, and no numerical Korean engagement benchmark is carried in this thesis (§4.7). The possibility that Korean implementations incorporate supportive framing or adaptive coaching is a hypothesis for comparative fieldwork, not an inference that can be made from the available sources.</w:t>
      </w:r>
    </w:p>
    <w:p>
      <w:pPr>
        <w:pStyle w:val="Heading3"/>
      </w:pPr>
      <w:bookmarkStart w:id="44" w:name="_Toc232024544"/>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8"/>
          <w:b/>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pStyle w:val="Heading2"/>
      </w:pPr>
      <w:bookmarkStart w:id="45" w:name="_Toc232024545"/>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8"/>
          <w:b/>
        </w:rPr>
        <w:t>The argument of this chapter can now be read in five plain steps. Step one: the acceptance literature says that fitting a technology to the user's acceptance criteria produces intention and use, and the gamification literature says game mechanics amplify this for older adults — together they yield the null hypothesis H0 of §2.3.5, that a well-made gamified FRA will be accepted and used, and that failure will not drive abandonment. Step two: the data reject H0 — retrospectively in Stage 1 (Chapter 4) and prospectively in Stage 2 (Chapter 5), where seventy per cent of participants disengaged early and none returned, despite an AI-assisted build that satisfied the stack's design criteria. Step three: self-efficacy explains the dropout but not its permanence, and not the improvement/non-return paradox. Step four: the behavioural-economics account structured in Table 2.1 — loss aversion, identity-relevant endowment, mental accounting, stereotype threat — explains precisely the observations H0 cannot, and is named FIAS. Step five: the account implies a design response whose centre is adaptive learning — challenge calibrated to the individual and failure reframed as information about a personal trajectory (§2.6.2A–B) — the behavioural-change driver this programme regards as its principal design discovery. Two components support it: participant-facing decoupling, for which Stage 3 (Chapter 6) provides between-cohort field evidence, and zero-failure presentation, the observation-driven inversion of Octalysis D8 (§2.6.2C). The adaptive-learning framework (Chapter 7) is the engineering formalisation of the adaptive-learning proposition, and it awaits prospective testing.</w:t>
      </w:r>
    </w:p>
    <w:p>
      <w:pPr>
        <w:pStyle w:val="Normal"/>
        <w:jc w:val="both"/>
      </w:pPr>
      <w:r>
        <w:rPr>
          <w:szCs w:val="26"/>
          <w:lang w:val="en-US" w:eastAsia="en-US" w:bidi="ar-SA"/>
          <w:rFonts w:ascii="Times New Roman" w:hAnsi="Times New Roman" w:eastAsia="Times New Roman" w:cs="Times New Roman"/>
          <w:sz w:val="28"/>
          <w:b/>
        </w:rPr>
        <w:t>No single stage carries the argument alone. The intellectual contribution is the chain itself: a null hypothesis honestly built from the best available models, an empirical rejection unlikely to be attributable to implementation quality, a structured behavioural account of the rejection, and an engineering programme that converts the account into testable design. The empirical contribution is strongest for the Stage-2 disengagement pattern and the substantially higher post-failure return in the separate Stage-3 decoupled cohort. The mechanism and framework claims remain provisional, and they are stated throughout in a form that direct measurement and a within-cohort randomised comparison can falsify.</w:t>
      </w:r>
    </w:p>
    <w:p>
      <w:pPr>
        <w:pStyle w:val="Normal"/>
        <w:spacing w:after="200" w:line="276"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8"/>
          <w:i/>
        </w:rPr>
        <w:t>Chapter 3 Research Methodology</w:t>
      </w:r>
      <w:bookmarkEnd w:id="46"/>
    </w:p>
    <w:p>
      <w:pPr>
        <w:pStyle w:val="Heading2"/>
      </w:pPr>
      <w:bookmarkStart w:id="47" w:name="_Toc23202454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8"/>
          <w:b/>
        </w:rPr>
        <w:t>The programme adopts action research (Lewin, 1946; Stringer, 2014; Reason &amp; Bradbury, 2008) and treats cycles of action, observation, reflection and design revision as part of the inquiry. Two things make this the right frame for the present study, and they should be stated plainly. First, the programme is hypothesis-testing and discovery-generating at the same time. A falsifiable null hypothesis, H0, is built from the literature (§2.3.5) and tested prospectively; but the programme's most important outputs — the FIAS construct, the coupling boundary condition and the adaptive-learning proposition — were not presupposed. They were discovered through the cycles, and action research is the methodology that makes such discovery legitimate rather than accidental: each cycle plans an action, executes it in the field, observes what the plan did not predict, and revises the working theory before the next cycle. Second, the frame mirrors the programme topic. Action research is continuous improvement applied to inquiry itself — plan, act, observe, reflect is the researcher's form of the same iterative loop that the thesis ultimately proposes for the individual user (adaptive learning, §6.8) and practised in the artefact's construction (the AI-assisted build, §5.3.9). The documented revisions are: from FIDS toward the provisional FIAS construct after Stages 1 and 2; from a dispositional account toward the coupling account and its boundary condition after Stage 3; and from decoupling alone toward adaptive learning, formalised as the adaptive-learning framework, as the design programme. These revisions are changes in working explanation; they are not independent confirmation of the underlying psychological mechanisms. The programme is best read, and is offered, as exploratory engineering research: it borrows the discipline of hypothesis testing — a null hypothesis stated in advance, an attribution stage, pre-specified confirmatory studies — while claiming the freedom that exploration earns: to notice what the plan did not predict, to name it, and to follow it. At this scale the work does not attempt formal theory building; it maps new territory carefully enough that the confirmatory expedition knows exactly where to dig. That status is declared here, once, so that the discoveries in the chapters that follow can be stated in their own plain terms.</w:t>
      </w:r>
    </w:p>
    <w:p>
      <w:pPr>
        <w:pStyle w:val="Heading2"/>
      </w:pPr>
      <w:bookmarkStart w:id="48" w:name="_Toc232024548"/>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8"/>
          <w:b/>
        </w:rPr>
        <w:t>Stage 1 was a descriptive, retrospective survey at the Poly Group facility in Guangzhou: a six-item Yes/No instrument administered face-to-face by nursing staff. Its methodological role in the architecture is to establish the field signal — a population satisfying every practical precondition of the acceptance models, with a documented pattern of adverse first experiences and non-return — that makes H0 worth testing prospectively (Chapter 4). The facility housed 280 residents at the time of the survey; 200 eligible residents were interviewed about their FRA experience, and all Stage-1 percentages are computed on the interviewed sample of 200.</w:t>
      </w:r>
    </w:p>
    <w:p>
      <w:pPr>
        <w:pStyle w:val="Normal"/>
        <w:jc w:val="both"/>
      </w:pPr>
      <w:r>
        <w:rPr>
          <w:szCs w:val="26"/>
          <w:lang w:val="en-US" w:eastAsia="en-US" w:bidi="ar-SA"/>
          <w:rFonts w:ascii="Times New Roman" w:hAnsi="Times New Roman" w:eastAsia="Times New Roman" w:cs="Times New Roman"/>
          <w:sz w:val="28"/>
          <w:b/>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which is what makes Stage 2 the programme's prospective test of H0 under fully provisioned conditions (§5.2).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Quality Function Deployment (QFD) pipeline (Akao, 1990; Chan &amp; Wu, 2002) is used to translate empirical findings into prioritised design requirements: user needs evidenced by the survey, telemetry and self-report data are mapped onto game features and weighted by the strength of the supporting evidence (§5.5A). QFD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8"/>
          <w:b/>
        </w:rPr>
        <w:t>Stage 3 was a between-cycle, between-cohort quasi-experimental field study with 120 adults aged 25-80 recruited through the author's Hong Kong-based networks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is attribution: the Stage-2 rejection of H0 admits a dispositional reading (gamification does not transfer to older adults) and a coupling reading (the attachment to the clinical technology broke it), and these make opposite predictions for a decoupled game (§6.1). Stage 3 is therefore designed as the programme's positive control for gamification theory, while its multi-component, between-cohort character bounds the causal strength of that attribution. The cohort design serves this purpose deliberately: recruiting three age bands (25-44, 45-64, 65-80) builds the comparison group into the study itself, and licenses a second null hypothesis, H0-age — that under the decoupled condition there is no difference between age groups. Stage 3 nullifies it: initial engagement differs sharply by age (0 of 38 younger versus 16 of 41 older initial dropouts; Fisher's exact p &lt; 0.0001), while non-return converges toward low levels in every band. The pattern is exactly what the identity-level account predicts — the burden that decoupling relieves is concentrated in the group whose identity the technology's purpose touches.</w:t>
      </w:r>
    </w:p>
    <w:p>
      <w:pPr>
        <w:pStyle w:val="Normal"/>
      </w:pPr>
      <w:r>
        <w:rPr>
          <w:szCs w:val="26"/>
          <w:lang w:val="en-US" w:eastAsia="en-US" w:bidi="ar-SA"/>
          <w:rFonts w:ascii="Times New Roman" w:hAnsi="Times New Roman" w:eastAsia="Times New Roman" w:cs="Times New Roman"/>
          <w:sz w:val="28"/>
          <w:b/>
        </w:rPr>
        <w:t>A fourth evidence activity supplements the three stages. After the Stage-3 analysis, a single expert consultation interview was conducted with Dr Sarah C.W. Yuan (Center on the Family, University of Hawai'i at Mānoa), a medical sociologist and demographer of aging whose field of practice is community group falls-prevention programming. The purpose was to test the programme's behavioural interpretation against an independent discipline and an independent field of practice — non-electronic group exercise and physical games for balance — in which none of this programme's apparatus is used. The consultation informs interpretation and design (§6.8A, §7.5.3) and is not treated as participant data; the record and its attribution basis are given in Appendix H.</w:t>
      </w:r>
    </w:p>
    <w:p>
      <w:pPr>
        <w:pStyle w:val="FigureCaption"/>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pPr>
              <w:pStyle w:val="Normal"/>
            </w:pPr>
            <w:r>
              <w:rPr>
                <w:b/>
                <w:sz w:val="32"/>
                <w:szCs w:val="28"/>
                <w:lang w:val="en-US" w:eastAsia="en-US" w:bidi="ar-SA"/>
                <w:rFonts w:ascii="Times New Roman" w:hAnsi="Times New Roman" w:eastAsia="Times New Roman" w:cs="Times New Roman"/>
              </w:rPr>
              <w:t>Claim</w:t>
            </w:r>
          </w:p>
        </w:tc>
        <w:tc>
          <w:tcPr>
            <w:tcW w:type="dxa" w:w="1701"/>
          </w:tcPr>
          <w:p>
            <w:pPr>
              <w:pStyle w:val="Normal"/>
            </w:pPr>
            <w:r>
              <w:rPr>
                <w:b/>
                <w:sz w:val="32"/>
                <w:szCs w:val="28"/>
                <w:lang w:val="en-US" w:eastAsia="en-US" w:bidi="ar-SA"/>
                <w:rFonts w:ascii="Times New Roman" w:hAnsi="Times New Roman" w:eastAsia="Times New Roman" w:cs="Times New Roman"/>
              </w:rPr>
              <w:t>Origin</w:t>
            </w:r>
          </w:p>
        </w:tc>
        <w:tc>
          <w:tcPr>
            <w:tcW w:type="dxa" w:w="1701"/>
          </w:tcPr>
          <w:p>
            <w:pPr>
              <w:pStyle w:val="Normal"/>
            </w:pPr>
            <w:r>
              <w:rPr>
                <w:b/>
                <w:sz w:val="32"/>
                <w:szCs w:val="28"/>
                <w:lang w:val="en-US" w:eastAsia="en-US" w:bidi="ar-SA"/>
                <w:rFonts w:ascii="Times New Roman" w:hAnsi="Times New Roman" w:eastAsia="Times New Roman" w:cs="Times New Roman"/>
              </w:rPr>
              <w:t>Stated</w:t>
            </w:r>
          </w:p>
        </w:tc>
        <w:tc>
          <w:tcPr>
            <w:tcW w:type="dxa" w:w="1701"/>
          </w:tcPr>
          <w:p>
            <w:pPr>
              <w:pStyle w:val="Normal"/>
            </w:pPr>
            <w:r>
              <w:rPr>
                <w:b/>
                <w:sz w:val="32"/>
                <w:szCs w:val="28"/>
                <w:lang w:val="en-US" w:eastAsia="en-US" w:bidi="ar-SA"/>
                <w:rFonts w:ascii="Times New Roman" w:hAnsi="Times New Roman" w:eastAsia="Times New Roman" w:cs="Times New Roman"/>
              </w:rPr>
              <w:t>Tested / examined</w:t>
            </w:r>
          </w:p>
        </w:tc>
        <w:tc>
          <w:tcPr>
            <w:tcW w:type="dxa" w:w="1701"/>
          </w:tcPr>
          <w:p>
            <w:pPr>
              <w:pStyle w:val="Normal"/>
            </w:pPr>
            <w:r>
              <w:rPr>
                <w:b/>
                <w:sz w:val="32"/>
                <w:szCs w:val="28"/>
                <w:lang w:val="en-US" w:eastAsia="en-US" w:bidi="ar-SA"/>
                <w:rFonts w:ascii="Times New Roman" w:hAnsi="Times New Roman" w:eastAsia="Times New Roman" w:cs="Times New Roman"/>
              </w:rPr>
              <w:t>Status in this thesis</w:t>
            </w:r>
          </w:p>
        </w:tc>
      </w:tr>
      <w:tr>
        <w:tc>
          <w:tcPr>
            <w:tcW w:type="dxa" w:w="1701"/>
          </w:tcPr>
          <w:p>
            <w:pPr>
              <w:pStyle w:val="Normal"/>
            </w:pPr>
            <w:r>
              <w:rPr>
                <w:sz w:val="24"/>
                <w:szCs w:val="22"/>
                <w:lang w:val="en-US" w:eastAsia="en-US" w:bidi="ar-SA"/>
                <w:rFonts w:ascii="Times New Roman" w:hAnsi="Times New Roman" w:eastAsia="Times New Roman" w:cs="Times New Roman"/>
                <w:b/>
              </w:rPr>
              <w:t>H0 — gamified FRA satisfying TAM/STAM + Octalysis sustains elderly acceptance; failure does not produce abandonment</w:t>
            </w:r>
          </w:p>
        </w:tc>
        <w:tc>
          <w:tcPr>
            <w:tcW w:type="dxa" w:w="1701"/>
          </w:tcPr>
          <w:p>
            <w:pPr>
              <w:pStyle w:val="Normal"/>
            </w:pPr>
            <w:r>
              <w:rPr>
                <w:sz w:val="24"/>
                <w:szCs w:val="22"/>
                <w:lang w:val="en-US" w:eastAsia="en-US" w:bidi="ar-SA"/>
                <w:rFonts w:ascii="Times New Roman" w:hAnsi="Times New Roman" w:eastAsia="Times New Roman" w:cs="Times New Roman"/>
                <w:b/>
              </w:rPr>
              <w:t>Literature (acceptance + gamification)</w:t>
            </w:r>
          </w:p>
        </w:tc>
        <w:tc>
          <w:tcPr>
            <w:tcW w:type="dxa" w:w="1701"/>
          </w:tcPr>
          <w:p>
            <w:pPr>
              <w:pStyle w:val="Normal"/>
            </w:pPr>
            <w:r>
              <w:rPr>
                <w:sz w:val="24"/>
                <w:szCs w:val="22"/>
                <w:lang w:val="en-US" w:eastAsia="en-US" w:bidi="ar-SA"/>
                <w:rFonts w:ascii="Times New Roman" w:hAnsi="Times New Roman" w:eastAsia="Times New Roman" w:cs="Times New Roman"/>
                <w:b/>
              </w:rPr>
              <w:t>§2.3.5; §5.1</w:t>
            </w:r>
          </w:p>
        </w:tc>
        <w:tc>
          <w:tcPr>
            <w:tcW w:type="dxa" w:w="1701"/>
          </w:tcPr>
          <w:p>
            <w:pPr>
              <w:pStyle w:val="Normal"/>
            </w:pPr>
            <w:r>
              <w:rPr>
                <w:sz w:val="24"/>
                <w:szCs w:val="22"/>
                <w:lang w:val="en-US" w:eastAsia="en-US" w:bidi="ar-SA"/>
                <w:rFonts w:ascii="Times New Roman" w:hAnsi="Times New Roman" w:eastAsia="Times New Roman" w:cs="Times New Roman"/>
                <w:b/>
              </w:rPr>
              <w:t>Stage 1 retrospectively (Ch 4); Stage 2 prospectively (Ch 5)</w:t>
            </w:r>
          </w:p>
        </w:tc>
        <w:tc>
          <w:tcPr>
            <w:tcW w:type="dxa" w:w="1701"/>
          </w:tcPr>
          <w:p>
            <w:pPr>
              <w:pStyle w:val="Normal"/>
            </w:pPr>
            <w:r>
              <w:rPr>
                <w:sz w:val="24"/>
                <w:szCs w:val="22"/>
                <w:lang w:val="en-US" w:eastAsia="en-US" w:bidi="ar-SA"/>
                <w:rFonts w:ascii="Times New Roman" w:hAnsi="Times New Roman" w:eastAsia="Times New Roman" w:cs="Times New Roman"/>
                <w:b/>
              </w:rPr>
              <w:t>Rejected</w:t>
            </w:r>
          </w:p>
        </w:tc>
      </w:tr>
      <w:tr>
        <w:tc>
          <w:tcPr>
            <w:tcW w:type="dxa" w:w="1701"/>
          </w:tcPr>
          <w:p>
            <w:pPr>
              <w:pStyle w:val="Normal"/>
            </w:pPr>
            <w:r>
              <w:rPr>
                <w:sz w:val="24"/>
                <w:szCs w:val="22"/>
                <w:lang w:val="en-US" w:eastAsia="en-US" w:bidi="ar-SA"/>
                <w:rFonts w:ascii="Times New Roman" w:hAnsi="Times New Roman" w:eastAsia="Times New Roman" w:cs="Times New Roman"/>
                <w:b/>
              </w:rPr>
              <w:t>H1, H2 and H4 — directional hypotheses on first failure, re-engagement and the improvement/non-return paradox</w:t>
            </w:r>
          </w:p>
        </w:tc>
        <w:tc>
          <w:tcPr>
            <w:tcW w:type="dxa" w:w="1701"/>
          </w:tcPr>
          <w:p>
            <w:pPr>
              <w:pStyle w:val="Normal"/>
            </w:pPr>
            <w:r>
              <w:rPr>
                <w:sz w:val="24"/>
                <w:szCs w:val="22"/>
                <w:lang w:val="en-US" w:eastAsia="en-US" w:bidi="ar-SA"/>
                <w:rFonts w:ascii="Times New Roman" w:hAnsi="Times New Roman" w:eastAsia="Times New Roman" w:cs="Times New Roman"/>
                <w:b/>
              </w:rPr>
              <w:t>Stage-1 observations</w:t>
            </w:r>
          </w:p>
        </w:tc>
        <w:tc>
          <w:tcPr>
            <w:tcW w:type="dxa" w:w="1701"/>
          </w:tcPr>
          <w:p>
            <w:pPr>
              <w:pStyle w:val="Normal"/>
            </w:pPr>
            <w:r>
              <w:rPr>
                <w:sz w:val="24"/>
                <w:szCs w:val="22"/>
                <w:lang w:val="en-US" w:eastAsia="en-US" w:bidi="ar-SA"/>
                <w:rFonts w:ascii="Times New Roman" w:hAnsi="Times New Roman" w:eastAsia="Times New Roman" w:cs="Times New Roman"/>
                <w:b/>
              </w:rPr>
              <w:t>§5.1</w:t>
            </w:r>
          </w:p>
        </w:tc>
        <w:tc>
          <w:tcPr>
            <w:tcW w:type="dxa" w:w="1701"/>
          </w:tcPr>
          <w:p>
            <w:pPr>
              <w:pStyle w:val="Normal"/>
            </w:pPr>
            <w:r>
              <w:rPr>
                <w:sz w:val="24"/>
                <w:szCs w:val="22"/>
                <w:lang w:val="en-US" w:eastAsia="en-US" w:bidi="ar-SA"/>
                <w:rFonts w:ascii="Times New Roman" w:hAnsi="Times New Roman" w:eastAsia="Times New Roman" w:cs="Times New Roman"/>
                <w:b/>
              </w:rPr>
              <w:t>Stage 2 (Ch 5)</w:t>
            </w:r>
          </w:p>
        </w:tc>
        <w:tc>
          <w:tcPr>
            <w:tcW w:type="dxa" w:w="1701"/>
          </w:tcPr>
          <w:p>
            <w:pPr>
              <w:pStyle w:val="Normal"/>
            </w:pPr>
            <w:r>
              <w:rPr>
                <w:sz w:val="24"/>
                <w:szCs w:val="22"/>
                <w:lang w:val="en-US" w:eastAsia="en-US" w:bidi="ar-SA"/>
                <w:rFonts w:ascii="Times New Roman" w:hAnsi="Times New Roman" w:eastAsia="Times New Roman" w:cs="Times New Roman"/>
                <w:b/>
              </w:rPr>
              <w:t>Directionally supported within a small single-site sample</w:t>
            </w:r>
          </w:p>
        </w:tc>
      </w:tr>
      <w:tr>
        <w:tc>
          <w:tcPr>
            <w:tcW w:type="dxa" w:w="1701"/>
          </w:tcPr>
          <w:p>
            <w:pPr>
              <w:pStyle w:val="Normal"/>
            </w:pPr>
            <w:r>
              <w:rPr>
                <w:sz w:val="24"/>
                <w:szCs w:val="22"/>
                <w:lang w:val="en-US" w:eastAsia="en-US" w:bidi="ar-SA"/>
                <w:rFonts w:ascii="Times New Roman" w:hAnsi="Times New Roman" w:eastAsia="Times New Roman" w:cs="Times New Roman"/>
                <w:b/>
              </w:rPr>
              <w:t>H5 and the Stage-3 predictions — decoupling is associated with lower non-return and post-failure return</w:t>
            </w:r>
          </w:p>
        </w:tc>
        <w:tc>
          <w:tcPr>
            <w:tcW w:type="dxa" w:w="1701"/>
          </w:tcPr>
          <w:p>
            <w:pPr>
              <w:pStyle w:val="Normal"/>
            </w:pPr>
            <w:r>
              <w:rPr>
                <w:sz w:val="24"/>
                <w:szCs w:val="22"/>
                <w:lang w:val="en-US" w:eastAsia="en-US" w:bidi="ar-SA"/>
                <w:rFonts w:ascii="Times New Roman" w:hAnsi="Times New Roman" w:eastAsia="Times New Roman" w:cs="Times New Roman"/>
                <w:b/>
              </w:rPr>
              <w:t>Stage-2 findings (mental-accounting row of Table 2.1)</w:t>
            </w:r>
          </w:p>
        </w:tc>
        <w:tc>
          <w:tcPr>
            <w:tcW w:type="dxa" w:w="1701"/>
          </w:tcPr>
          <w:p>
            <w:pPr>
              <w:pStyle w:val="Normal"/>
            </w:pPr>
            <w:r>
              <w:rPr>
                <w:sz w:val="24"/>
                <w:szCs w:val="22"/>
                <w:lang w:val="en-US" w:eastAsia="en-US" w:bidi="ar-SA"/>
                <w:rFonts w:ascii="Times New Roman" w:hAnsi="Times New Roman" w:eastAsia="Times New Roman" w:cs="Times New Roman"/>
                <w:b/>
              </w:rPr>
              <w:t>§5.1; §6.2</w:t>
            </w:r>
          </w:p>
        </w:tc>
        <w:tc>
          <w:tcPr>
            <w:tcW w:type="dxa" w:w="1701"/>
          </w:tcPr>
          <w:p>
            <w:pPr>
              <w:pStyle w:val="Normal"/>
            </w:pPr>
            <w:r>
              <w:rPr>
                <w:sz w:val="24"/>
                <w:szCs w:val="22"/>
                <w:lang w:val="en-US" w:eastAsia="en-US" w:bidi="ar-SA"/>
                <w:rFonts w:ascii="Times New Roman" w:hAnsi="Times New Roman" w:eastAsia="Times New Roman" w:cs="Times New Roman"/>
                <w:b/>
              </w:rPr>
              <w:t>Stage 3 (Ch 6)</w:t>
            </w:r>
          </w:p>
        </w:tc>
        <w:tc>
          <w:tcPr>
            <w:tcW w:type="dxa" w:w="1701"/>
          </w:tcPr>
          <w:p>
            <w:pPr>
              <w:pStyle w:val="Normal"/>
            </w:pPr>
            <w:r>
              <w:rPr>
                <w:sz w:val="24"/>
                <w:szCs w:val="22"/>
                <w:lang w:val="en-US" w:eastAsia="en-US" w:bidi="ar-SA"/>
                <w:rFonts w:ascii="Times New Roman" w:hAnsi="Times New Roman" w:eastAsia="Times New Roman" w:cs="Times New Roman"/>
                <w:b/>
              </w:rPr>
              <w:t>Supported as association; attribution bounded by the between-cohort design</w:t>
            </w:r>
          </w:p>
        </w:tc>
      </w:tr>
      <w:tr>
        <w:tc>
          <w:tcPr>
            <w:tcW w:type="dxa" w:w="1701"/>
          </w:tcPr>
          <w:p>
            <w:pPr>
              <w:pStyle w:val="Normal"/>
            </w:pPr>
            <w:r>
              <w:rPr>
                <w:sz w:val="24"/>
                <w:szCs w:val="22"/>
                <w:lang w:val="en-US" w:eastAsia="en-US" w:bidi="ar-SA"/>
                <w:rFonts w:ascii="Times New Roman" w:hAnsi="Times New Roman" w:eastAsia="Times New Roman" w:cs="Times New Roman"/>
                <w:b/>
              </w:rPr>
              <w:t>Adaptive-learning proposition — individual-level continuous improvement as the behavioural-change driver that can re-attach clinical purpose</w:t>
            </w:r>
          </w:p>
        </w:tc>
        <w:tc>
          <w:tcPr>
            <w:tcW w:type="dxa" w:w="1701"/>
          </w:tcPr>
          <w:p>
            <w:pPr>
              <w:pStyle w:val="Normal"/>
            </w:pPr>
            <w:r>
              <w:rPr>
                <w:sz w:val="24"/>
                <w:szCs w:val="22"/>
                <w:lang w:val="en-US" w:eastAsia="en-US" w:bidi="ar-SA"/>
                <w:rFonts w:ascii="Times New Roman" w:hAnsi="Times New Roman" w:eastAsia="Times New Roman" w:cs="Times New Roman"/>
                <w:b/>
              </w:rPr>
              <w:t>Discovery: forced by the H0 rejection and the Stage-3 commitment gap</w:t>
            </w:r>
          </w:p>
        </w:tc>
        <w:tc>
          <w:tcPr>
            <w:tcW w:type="dxa" w:w="1701"/>
          </w:tcPr>
          <w:p>
            <w:pPr>
              <w:pStyle w:val="Normal"/>
            </w:pPr>
            <w:r>
              <w:rPr>
                <w:sz w:val="24"/>
                <w:szCs w:val="22"/>
                <w:lang w:val="en-US" w:eastAsia="en-US" w:bidi="ar-SA"/>
                <w:rFonts w:ascii="Times New Roman" w:hAnsi="Times New Roman" w:eastAsia="Times New Roman" w:cs="Times New Roman"/>
                <w:b/>
              </w:rPr>
              <w:t>§6.8; Ch 7 (the adaptive-learning framework)</w:t>
            </w:r>
          </w:p>
        </w:tc>
        <w:tc>
          <w:tcPr>
            <w:tcW w:type="dxa" w:w="1701"/>
          </w:tcPr>
          <w:p>
            <w:pPr>
              <w:pStyle w:val="Normal"/>
            </w:pPr>
            <w:r>
              <w:rPr>
                <w:sz w:val="24"/>
                <w:szCs w:val="22"/>
                <w:lang w:val="en-US" w:eastAsia="en-US" w:bidi="ar-SA"/>
                <w:rFonts w:ascii="Times New Roman" w:hAnsi="Times New Roman" w:eastAsia="Times New Roman" w:cs="Times New Roman"/>
                <w:b/>
              </w:rPr>
              <w:t>Not yet tested in isolation</w:t>
            </w:r>
          </w:p>
        </w:tc>
        <w:tc>
          <w:tcPr>
            <w:tcW w:type="dxa" w:w="1701"/>
          </w:tcPr>
          <w:p>
            <w:pPr>
              <w:pStyle w:val="Normal"/>
            </w:pPr>
            <w:r>
              <w:rPr>
                <w:sz w:val="24"/>
                <w:szCs w:val="22"/>
                <w:lang w:val="en-US" w:eastAsia="en-US" w:bidi="ar-SA"/>
                <w:rFonts w:ascii="Times New Roman" w:hAnsi="Times New Roman" w:eastAsia="Times New Roman" w:cs="Times New Roman"/>
                <w:b/>
              </w:rPr>
              <w:t>Proposed; isolated evaluation pre-specified in §8.8 and instrumented in §3.6</w:t>
            </w:r>
          </w:p>
        </w:tc>
      </w:tr>
      <w:tr>
        <w:tc>
          <w:tcPr>
            <w:tcW w:type="dxa" w:w="1701"/>
          </w:tcPr>
          <w:p>
            <w:pPr>
              <w:pStyle w:val="Normal"/>
            </w:pPr>
            <w:r>
              <w:rPr>
                <w:sz w:val="24"/>
                <w:szCs w:val="22"/>
                <w:lang w:val="en-US" w:eastAsia="en-US" w:bidi="ar-SA"/>
                <w:rFonts w:ascii="Times New Roman" w:hAnsi="Times New Roman" w:eastAsia="Times New Roman" w:cs="Times New Roman"/>
                <w:b/>
              </w:rPr>
              <w:t>H0-age — under the decoupled condition, no difference between age groups</w:t>
            </w:r>
          </w:p>
        </w:tc>
        <w:tc>
          <w:tcPr>
            <w:tcW w:type="dxa" w:w="1701"/>
          </w:tcPr>
          <w:p>
            <w:pPr>
              <w:pStyle w:val="Normal"/>
            </w:pPr>
            <w:r>
              <w:rPr>
                <w:sz w:val="24"/>
                <w:szCs w:val="22"/>
                <w:lang w:val="en-US" w:eastAsia="en-US" w:bidi="ar-SA"/>
                <w:rFonts w:ascii="Times New Roman" w:hAnsi="Times New Roman" w:eastAsia="Times New Roman" w:cs="Times New Roman"/>
                <w:b/>
              </w:rPr>
              <w:t>Stage-3 cohort design (three age bands as built-in comparison groups)</w:t>
            </w:r>
          </w:p>
        </w:tc>
        <w:tc>
          <w:tcPr>
            <w:tcW w:type="dxa" w:w="1701"/>
          </w:tcPr>
          <w:p>
            <w:pPr>
              <w:pStyle w:val="Normal"/>
            </w:pPr>
            <w:r>
              <w:rPr>
                <w:sz w:val="24"/>
                <w:szCs w:val="22"/>
                <w:lang w:val="en-US" w:eastAsia="en-US" w:bidi="ar-SA"/>
                <w:rFonts w:ascii="Times New Roman" w:hAnsi="Times New Roman" w:eastAsia="Times New Roman" w:cs="Times New Roman"/>
                <w:b/>
              </w:rPr>
              <w:t>§3.2; §6.2</w:t>
            </w:r>
          </w:p>
        </w:tc>
        <w:tc>
          <w:tcPr>
            <w:tcW w:type="dxa" w:w="1701"/>
          </w:tcPr>
          <w:p>
            <w:pPr>
              <w:pStyle w:val="Normal"/>
            </w:pPr>
            <w:r>
              <w:rPr>
                <w:sz w:val="24"/>
                <w:szCs w:val="22"/>
                <w:lang w:val="en-US" w:eastAsia="en-US" w:bidi="ar-SA"/>
                <w:rFonts w:ascii="Times New Roman" w:hAnsi="Times New Roman" w:eastAsia="Times New Roman" w:cs="Times New Roman"/>
                <w:b/>
              </w:rPr>
              <w:t>Stage 3 (Ch 6): age-stratified engagement</w:t>
            </w:r>
          </w:p>
        </w:tc>
        <w:tc>
          <w:tcPr>
            <w:tcW w:type="dxa" w:w="1701"/>
          </w:tcPr>
          <w:p>
            <w:pPr>
              <w:pStyle w:val="Normal"/>
            </w:pPr>
            <w:r>
              <w:rPr>
                <w:szCs w:val="26"/>
                <w:lang w:val="en-US" w:eastAsia="en-US" w:bidi="ar-SA"/>
                <w:rFonts w:ascii="Times New Roman" w:hAnsi="Times New Roman" w:eastAsia="Times New Roman" w:cs="Times New Roman"/>
                <w:sz w:val="28"/>
                <w:b/>
              </w:rPr>
              <w:t>Nullified: initial dropout 0.0% (25-44) vs 39.0% (65-80), Fisher's exact p &lt; 0.0001; non-return converges low in all bands</w:t>
            </w:r>
          </w:p>
        </w:tc>
      </w:tr>
    </w:tbl>
    <w:p>
      <w:pPr>
        <w:pStyle w:val="Heading2"/>
      </w:pPr>
      <w:bookmarkStart w:id="49" w:name="_Toc23202454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8"/>
          <w:b/>
        </w:rPr>
        <w:t xml:space="preserve">Figure 3.1 summarises the programme as a sequence of empirical stages and theoretical revisions, and it should be read as an action-research logic model rather than as a single causal experiment. In the architecture of Table 3.1: Stage 1 is descriptive and establishes the field signal that motivates the H0 test; Stage 2 is the prospective H0 test and is mechanism-generating; Stage 3 is the attribution experiment that separates the dispositional from the coupling explanation; and Chapter 7 formalises the design discovery for future controlled testing. </w:t>
      </w:r>
    </w:p>
    <w:p>
      <w:pPr>
        <w:pStyle w:val="Normal"/>
        <w:keepNext/>
        <w:spacing w:before="160" w:after="40"/>
        <w:jc w:val="center"/>
      </w:pPr>
      <w:r>
        <w:drawing>
          <wp:inline>
            <wp:extent cx="5669280" cy="2430156"/>
            <wp:docPr id="18" name="Picture 18"/>
            <wp:cNvGraphicFramePr>
              <a:graphicFrameLocks noChangeAspect="1"/>
            </wp:cNvGraphicFramePr>
            <a:graphic>
              <a:graphicData uri="http://schemas.openxmlformats.org/drawingml/2006/picture">
                <pic:pic>
                  <pic:nvPicPr>
                    <pic:cNvPr id="0" name="fig_3_1.png"/>
                    <pic:cNvPicPr/>
                  </pic:nvPicPr>
                  <pic:blipFill>
                    <a:blip r:embed="rId27"/>
                    <a:stretch>
                      <a:fillRect/>
                    </a:stretch>
                  </pic:blipFill>
                  <pic:spPr>
                    <a:xfrm>
                      <a:off x="0" y="0"/>
                      <a:ext cx="5669280" cy="2430156"/>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rPr>
        <w:t>Figure 3.1. Three-stage action research programme as an action-research logic model: Stage 1 supplies the field signal, Stage 2 the prospective H0 test, Stage 3 the attribution experiment; the stages converge on the adaptive-learning formalisation of Chapter 7 and the confirmatory programme of §8.8. Each stage produces an empirical output and a theoretical revision.</w:t>
      </w:r>
    </w:p>
    <w:p>
      <w:pPr>
        <w:pStyle w:val="Heading2"/>
      </w:pPr>
      <w:bookmarkStart w:id="50" w:name="_Toc23202455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8"/>
          <w:b/>
        </w:rPr>
        <w:t>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reviewed by the PolyU Human Subjects Ethics Sub-Committee; the approval reference and coverage statement are recorded in the ethics documentation held with the programme records.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p>
    <w:p>
      <w:r>
        <w:t>Consent in the Stage-3 remote deployment operated by informed, implied consent, and the thesis states the procedure exactly as it was. The distribution e-mails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pStyle w:val="Heading2"/>
      </w:pPr>
      <w:bookmarkStart w:id="51" w:name="_Toc23202455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8"/>
          <w:b/>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8"/>
          <w:b/>
        </w:rPr>
        <w:t>Mitigation is therefore based on transparency, age-matched subgroup comparison,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The decisive confirmation is a within-cohort randomised coupled-versus-decoupled study with harmonised measures and observation windows.</w:t>
      </w:r>
    </w:p>
    <w:p>
      <w:pPr>
        <w:pStyle w:val="Normal"/>
      </w:pPr>
      <w:r>
        <w:rPr>
          <w:i w:val="0"/>
          <w:szCs w:val="26"/>
          <w:lang w:val="en-US" w:eastAsia="en-US" w:bidi="ar-SA"/>
          <w:rFonts w:ascii="Times New Roman" w:hAnsi="Times New Roman" w:eastAsia="Times New Roman" w:cs="Times New Roman"/>
          <w:sz w:val="28"/>
          <w:b/>
        </w:rPr>
        <w:t>The hypothesis architecture of Table 3.1 keeps confirmation and discovery in separate registers, and the thesis is straightforward about which is which. H0 formalises the expectation that genuinely governed the Stage-2 design when it was built — the game was engineered to satisfy the acceptance and gamification criteria precisely because the programme expected them to be sufficient. The directional hypotheses grew stage by stage in the ordinary rhythm of action research. The adaptive-learning proposition is a discovery, formed when the Stage-3 commitment gap pointed to it, and it is presented with the pride a discovery deserves alongside the confirmatory study it now makes possible (§8.8). This is the exploratory researcher's bargain: findings stated plainly, and their tests specified before anyone is asked to rely on them.</w:t>
      </w:r>
    </w:p>
    <w:p>
      <w:pPr>
        <w:pStyle w:val="Normal"/>
      </w:pPr>
      <w:r>
        <w:rPr>
          <w:szCs w:val="26"/>
          <w:lang w:val="en-US" w:eastAsia="en-US" w:bidi="ar-SA"/>
          <w:rFonts w:ascii="Times New Roman" w:hAnsi="Times New Roman" w:eastAsia="Times New Roman" w:cs="Times New Roman"/>
          <w:sz w:val="28"/>
          <w:b/>
        </w:rPr>
        <w:t>The chronological provenance of each hypothesis is recorded explicitly, so that prospective tests and action-research discoveries cannot be conflated. H0 is a reconstructed prospective hypothesis: the expectation it formalises governed the Stage-2 design ex ante — the build criteria of §5.2 document this — but its formal statement as a null hypothesis was written during the analysis and writing phase, not deposited in advance, and the thesis claims no more for it than that.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is an action-research discovery in the full sense: it was formed after the Stage-3 commitment gap was observed, is claimed only as a discovery, and receives its first genuine test in the pre-specified study of §8.8. No hypothesis in the programme was publicly preregistered; the protections against hindsight restatement are this documented chronology, the confirmation-versus-discovery discipline of §3.5, and the pre-specification of every forward test.</w:t>
      </w:r>
    </w:p>
    <w:p>
      <w:pPr>
        <w:pStyle w:val="Heading2"/>
      </w:pPr>
      <w:bookmarkStart w:id="52" w:name="_Toc23202455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3.6 An Instrumentation Roadmap for the Adaptive-Learning Claim</w:t>
      </w:r>
      <w:bookmarkEnd w:id="52"/>
    </w:p>
    <w:p>
      <w:pPr>
        <w:pStyle w:val="Normal"/>
        <w:jc w:val="both"/>
      </w:pPr>
      <w:r>
        <w:rPr>
          <w:szCs w:val="26"/>
          <w:lang w:val="en-US" w:eastAsia="en-US" w:bidi="ar-SA"/>
          <w:rFonts w:ascii="Times New Roman" w:hAnsi="Times New Roman" w:eastAsia="Times New Roman" w:cs="Times New Roman"/>
          <w:sz w:val="28"/>
          <w:b/>
        </w:rPr>
        <w:t>This section converts the programme's discovery into a confirmable claim. The adaptive-learning proposition of §6.8 and Chapter 7 rests on the hypothesis that learning-trajectory appraisal can reduce the dominance of an endowment-protective interpretation of failure. The present stages support this indirectly through behavioural patterns; they do not measure the proposed mechanism or test the complete adaptive-learning framework. Methodological honesty therefore requires an instrumentation roadmap that converts each inferred operator into a measured variable and pre-specifies what evidence would disconfirm the account.</w:t>
      </w:r>
    </w:p>
    <w:p>
      <w:pPr>
        <w:pStyle w:val="Normal"/>
        <w:jc w:val="both"/>
      </w:pPr>
      <w:r>
        <w:rPr>
          <w:szCs w:val="26"/>
          <w:lang w:val="en-US" w:eastAsia="en-US" w:bidi="ar-SA"/>
          <w:rFonts w:ascii="Times New Roman" w:hAnsi="Times New Roman" w:eastAsia="Times New Roman" w:cs="Times New Roman"/>
          <w:sz w:val="28"/>
          <w:b/>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8"/>
          <w:b/>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b/>
          <w:color w:val="000000"/>
          <w:sz w:val="28"/>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8"/>
          <w:i/>
        </w:rPr>
        <w:t>Chapter 4 Stage 1 — From FIDS to FIAS</w:t>
      </w:r>
    </w:p>
    <w:p>
      <w:pPr>
        <w:pStyle w:val="Normal"/>
        <w:jc w:val="both"/>
      </w:pPr>
      <w:r>
        <w:rPr>
          <w:szCs w:val="26"/>
          <w:lang w:val="en-US" w:eastAsia="en-US" w:bidi="ar-SA"/>
          <w:rFonts w:ascii="Times New Roman" w:hAnsi="Times New Roman" w:eastAsia="Times New Roman" w:cs="Times New Roman"/>
          <w:sz w:val="28"/>
          <w:b/>
        </w:rPr>
        <w:t>Based on Paper 1 (SS-293).</w:t>
      </w:r>
    </w:p>
    <w:p>
      <w:pPr>
        <w:pStyle w:val="Heading2"/>
      </w:pPr>
      <w:bookmarkStart w:id="53" w:name="_Toc23202455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4.1 Purpose</w:t>
      </w:r>
      <w:bookmarkEnd w:id="53"/>
    </w:p>
    <w:p>
      <w:pPr>
        <w:pStyle w:val="Normal"/>
        <w:jc w:val="both"/>
      </w:pPr>
      <w:r>
        <w:rPr>
          <w:szCs w:val="26"/>
          <w:lang w:val="en-US" w:eastAsia="en-US" w:bidi="ar-SA"/>
          <w:rFonts w:ascii="Times New Roman" w:hAnsi="Times New Roman" w:eastAsia="Times New Roman" w:cs="Times New Roman"/>
          <w:sz w:val="28"/>
          <w:b/>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already deployed exactly the kind of technology the null hypothesis H0 (§2.3.5) says should succeed — a clinically valuable, professionally installed FRA station, free to use, well staffed — and the station stood empty. Stage 1 therefore supplies the retrospective signal that H0 was already failing in the field before this programme began. Stage 1 was not designed to validate FIAS or to identify a causal psychological mechanism.</w:t>
      </w:r>
    </w:p>
    <w:p>
      <w:pPr>
        <w:pStyle w:val="Heading2"/>
      </w:pPr>
      <w:bookmarkStart w:id="54" w:name="_Toc232024555"/>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G.8).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and 200 is the denominator for every Stage-1 result. No separate TAM-based questionnaire block was administered; the six-item form reproduced in Appendix A is the complete Stage-1 instrument, and only results with a traceable item, wording, denominator and data source remain in Table 4.1.</w:t>
      </w:r>
    </w:p>
    <w:p>
      <w:pPr>
        <w:pStyle w:val="Heading2"/>
      </w:pPr>
      <w:bookmarkStart w:id="56" w:name="_Toc232024556"/>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aged 65–88 who met the stated eligibility criteria.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denominator for all Stage-1 results. The remaining 80 residents were unavailable at the time the interviews were conducted; none were excluded by refusal. Because unavailability is unlikely to correlate strongly with FRA experience, the selection risk is judged modest, though it is acknowledged with the other Stage-1 limitations in §4.8.</w:t>
      </w:r>
    </w:p>
    <w:p>
      <w:pPr>
        <w:pStyle w:val="FigureCaption"/>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0" w:type="auto"/>
        <w:jc w:val="center"/>
        <w:tblLook w:val="04A0" w:firstRow="1" w:lastRow="0" w:firstColumn="1" w:lastColumn="0" w:noHBand="0" w:noVBand="1"/>
      </w:tblPr>
      <w:tblGrid>
        <w:gridCol w:w="5665"/>
        <w:gridCol w:w="1848"/>
      </w:tblGrid>
      <w:tr>
        <w:trPr>
          <w:jc w:val="center"/>
        </w:trPr>
        <w:tc>
          <w:tcPr>
            <w:tcW w:w="5665" w:type="dxa"/>
          </w:tcPr>
          <w:p>
            <w:pPr>
              <w:pStyle w:val="Normal"/>
            </w:pPr>
            <w:r>
              <w:rPr>
                <w:b/>
                <w:sz w:val="20"/>
                <w:szCs w:val="22"/>
                <w:lang w:val="en-US" w:eastAsia="en-US" w:bidi="ar-SA"/>
                <w:rFonts w:ascii="Times New Roman" w:hAnsi="Times New Roman" w:eastAsia="Times New Roman" w:cs="Times New Roman"/>
              </w:rPr>
              <w:t>Survey item</w:t>
            </w:r>
          </w:p>
        </w:tc>
        <w:tc>
          <w:tcPr>
            <w:tcW w:w="1848" w:type="dxa"/>
          </w:tcPr>
          <w:p>
            <w:pPr>
              <w:pStyle w:val="Normal"/>
            </w:pPr>
            <w:r>
              <w:rPr>
                <w:b/>
                <w:sz w:val="20"/>
                <w:szCs w:val="22"/>
                <w:lang w:val="en-US" w:eastAsia="en-US" w:bidi="ar-SA"/>
                <w:rFonts w:ascii="Times New Roman" w:hAnsi="Times New Roman" w:eastAsia="Times New Roman" w:cs="Times New Roman"/>
              </w:rPr>
              <w:t>Result</w:t>
            </w:r>
          </w:p>
        </w:tc>
      </w:tr>
      <w:tr>
        <w:trPr>
          <w:jc w:val="center"/>
        </w:trPr>
        <w:tc>
          <w:tcPr>
            <w:tcW w:w="5665" w:type="dxa"/>
          </w:tcPr>
          <w:p>
            <w:pPr>
              <w:pStyle w:val="Normal"/>
            </w:pPr>
            <w:r>
              <w:rPr>
                <w:sz w:val="20"/>
                <w:szCs w:val="22"/>
                <w:lang w:val="en-US" w:eastAsia="en-US" w:bidi="ar-SA"/>
                <w:rFonts w:ascii="Times New Roman" w:hAnsi="Times New Roman" w:eastAsia="Times New Roman" w:cs="Times New Roman"/>
              </w:rPr>
              <w:t>Ever used FRA</w:t>
            </w:r>
          </w:p>
        </w:tc>
        <w:tc>
          <w:tcPr>
            <w:tcW w:w="1848" w:type="dxa"/>
          </w:tcPr>
          <w:p>
            <w:pPr>
              <w:pStyle w:val="Normal"/>
            </w:pPr>
            <w:r>
              <w:rPr>
                <w:sz w:val="20"/>
                <w:szCs w:val="22"/>
                <w:lang w:val="en-US" w:eastAsia="en-US" w:bidi="ar-SA"/>
                <w:rFonts w:ascii="Times New Roman" w:hAnsi="Times New Roman" w:eastAsia="Times New Roman" w:cs="Times New Roman"/>
              </w:rPr>
              <w:t>39%</w:t>
            </w:r>
          </w:p>
        </w:tc>
      </w:tr>
      <w:tr>
        <w:trPr>
          <w:jc w:val="center"/>
        </w:trPr>
        <w:tc>
          <w:tcPr>
            <w:tcW w:w="5665" w:type="dxa"/>
          </w:tcPr>
          <w:p>
            <w:pPr>
              <w:pStyle w:val="Normal"/>
            </w:pPr>
            <w:r>
              <w:rPr>
                <w:sz w:val="20"/>
                <w:szCs w:val="22"/>
                <w:lang w:val="en-US" w:eastAsia="en-US" w:bidi="ar-SA"/>
                <w:rFonts w:ascii="Times New Roman" w:hAnsi="Times New Roman" w:eastAsia="Times New Roman" w:cs="Times New Roman"/>
              </w:rPr>
              <w:t>Never used FRA</w:t>
            </w:r>
          </w:p>
        </w:tc>
        <w:tc>
          <w:tcPr>
            <w:tcW w:w="1848" w:type="dxa"/>
          </w:tcPr>
          <w:p>
            <w:pPr>
              <w:pStyle w:val="Normal"/>
            </w:pPr>
            <w:r>
              <w:rPr>
                <w:sz w:val="20"/>
                <w:szCs w:val="22"/>
                <w:lang w:val="en-US" w:eastAsia="en-US" w:bidi="ar-SA"/>
                <w:rFonts w:ascii="Times New Roman" w:hAnsi="Times New Roman" w:eastAsia="Times New Roman" w:cs="Times New Roman"/>
              </w:rPr>
              <w:t>61%</w:t>
            </w:r>
          </w:p>
        </w:tc>
      </w:tr>
      <w:tr>
        <w:trPr>
          <w:jc w:val="center"/>
        </w:trPr>
        <w:tc>
          <w:tcPr>
            <w:tcW w:w="5665"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48" w:type="dxa"/>
          </w:tcPr>
          <w:p>
            <w:pPr>
              <w:pStyle w:val="Normal"/>
            </w:pPr>
            <w:r>
              <w:rPr>
                <w:sz w:val="20"/>
                <w:szCs w:val="22"/>
                <w:lang w:val="en-US" w:eastAsia="en-US" w:bidi="ar-SA"/>
                <w:rFonts w:ascii="Times New Roman" w:hAnsi="Times New Roman" w:eastAsia="Times New Roman" w:cs="Times New Roman"/>
              </w:rPr>
              <w:t>~74%</w:t>
            </w:r>
          </w:p>
        </w:tc>
      </w:tr>
      <w:tr>
        <w:trPr>
          <w:jc w:val="center"/>
        </w:trPr>
        <w:tc>
          <w:tcPr>
            <w:tcW w:w="5665"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48" w:type="dxa"/>
          </w:tcPr>
          <w:p>
            <w:pPr>
              <w:pStyle w:val="Normal"/>
            </w:pPr>
            <w:r>
              <w:rPr>
                <w:sz w:val="20"/>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and its Perceived Usefulness construct is usually operationalised through performance gains. For retired older adults, usefulness means something different — safety, independence, confidence, quality of life — because their acceptance criteria are formed by different life experiences and learning patterns (§2.2.1). More important for this thesis, the acceptance models describe beliefs and intentions before and during adoption; they contain no construct for a discrete post-contact failure event and its effect on later use (§2.2.3). The Stage-1 pattern is exactly the pattern such a blind spot would produce: a population that had accepted the technology in the models' terms — aware of it, able to access it, in many cases having tried it — and had then stopped, for reasons the models cannot see. This is what a retrospective failure of H0 looks like. The Stage-1 data motivate explicit study of the failure event; they do not show that positive beliefs never predict use.</w:t>
      </w:r>
    </w:p>
    <w:p>
      <w:pPr>
        <w:pStyle w:val="FigureCaption"/>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0" w:type="auto"/>
        <w:jc w:val="center"/>
        <w:tblLook w:val="04A0" w:firstRow="1" w:lastRow="0" w:firstColumn="1" w:lastColumn="0" w:noHBand="0" w:noVBand="1"/>
      </w:tblPr>
      <w:tblGrid>
        <w:gridCol w:w="2689"/>
        <w:gridCol w:w="2974"/>
        <w:gridCol w:w="2832"/>
      </w:tblGrid>
      <w:tr>
        <w:trPr>
          <w:jc w:val="center"/>
        </w:trPr>
        <w:tc>
          <w:tcPr>
            <w:tcW w:w="2689" w:type="dxa"/>
          </w:tcPr>
          <w:p>
            <w:pPr>
              <w:pStyle w:val="Normal"/>
            </w:pPr>
            <w:r>
              <w:rPr>
                <w:b/>
                <w:sz w:val="20"/>
                <w:szCs w:val="22"/>
                <w:lang w:val="en-US" w:eastAsia="en-US" w:bidi="ar-SA"/>
                <w:rFonts w:ascii="Times New Roman" w:hAnsi="Times New Roman" w:eastAsia="Times New Roman" w:cs="Times New Roman"/>
              </w:rPr>
              <w:t>TAM assumption</w:t>
            </w:r>
          </w:p>
        </w:tc>
        <w:tc>
          <w:tcPr>
            <w:tcW w:w="2974" w:type="dxa"/>
          </w:tcPr>
          <w:p>
            <w:pPr>
              <w:pStyle w:val="Normal"/>
            </w:pPr>
            <w:r>
              <w:rPr>
                <w:b/>
                <w:sz w:val="20"/>
                <w:szCs w:val="22"/>
                <w:lang w:val="en-US" w:eastAsia="en-US" w:bidi="ar-SA"/>
                <w:rFonts w:ascii="Times New Roman" w:hAnsi="Times New Roman" w:eastAsia="Times New Roman" w:cs="Times New Roman"/>
              </w:rPr>
              <w:t>Reality for elderly FRA users</w:t>
            </w:r>
          </w:p>
        </w:tc>
        <w:tc>
          <w:tcPr>
            <w:tcW w:w="2832" w:type="dxa"/>
          </w:tcPr>
          <w:p>
            <w:pPr>
              <w:pStyle w:val="Normal"/>
            </w:pPr>
            <w:r>
              <w:rPr>
                <w:b/>
                <w:sz w:val="20"/>
                <w:szCs w:val="22"/>
                <w:lang w:val="en-US" w:eastAsia="en-US" w:bidi="ar-SA"/>
                <w:rFonts w:ascii="Times New Roman" w:hAnsi="Times New Roman" w:eastAsia="Times New Roman" w:cs="Times New Roman"/>
              </w:rPr>
              <w:t>Consequence</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Usefulness tied to job performance</w:t>
            </w:r>
          </w:p>
        </w:tc>
        <w:tc>
          <w:tcPr>
            <w:tcW w:w="2974" w:type="dxa"/>
          </w:tcPr>
          <w:p>
            <w:pPr>
              <w:pStyle w:val="Normal"/>
            </w:pPr>
            <w:r>
              <w:rPr>
                <w:sz w:val="20"/>
                <w:szCs w:val="22"/>
                <w:lang w:val="en-US" w:eastAsia="en-US" w:bidi="ar-SA"/>
                <w:rFonts w:ascii="Times New Roman" w:hAnsi="Times New Roman" w:eastAsia="Times New Roman" w:cs="Times New Roman"/>
              </w:rPr>
              <w:t>Users are retired</w:t>
            </w:r>
          </w:p>
        </w:tc>
        <w:tc>
          <w:tcPr>
            <w:tcW w:w="2832" w:type="dxa"/>
          </w:tcPr>
          <w:p>
            <w:pPr>
              <w:pStyle w:val="Normal"/>
            </w:pPr>
            <w:r>
              <w:rPr>
                <w:sz w:val="20"/>
                <w:szCs w:val="22"/>
                <w:lang w:val="en-US" w:eastAsia="en-US" w:bidi="ar-SA"/>
                <w:rFonts w:ascii="Times New Roman" w:hAnsi="Times New Roman" w:eastAsia="Times New Roman" w:cs="Times New Roman"/>
              </w:rPr>
              <w:t>PU needs redefining</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Positive perceptions predict adoption</w:t>
            </w:r>
          </w:p>
        </w:tc>
        <w:tc>
          <w:tcPr>
            <w:tcW w:w="2974" w:type="dxa"/>
          </w:tcPr>
          <w:p>
            <w:pPr>
              <w:pStyle w:val="Normal"/>
            </w:pPr>
            <w:r>
              <w:rPr>
                <w:szCs w:val="22"/>
                <w:lang w:val="en-US" w:eastAsia="en-US" w:bidi="ar-SA"/>
                <w:rFonts w:ascii="Times New Roman" w:hAnsi="Times New Roman" w:eastAsia="Times New Roman" w:cs="Times New Roman"/>
                <w:sz w:val="24"/>
              </w:rPr>
              <w:t>Reported favourable beliefs coexisted with low prior use</w:t>
            </w:r>
          </w:p>
        </w:tc>
        <w:tc>
          <w:tcPr>
            <w:tcW w:w="2832" w:type="dxa"/>
          </w:tcPr>
          <w:p>
            <w:pPr>
              <w:pStyle w:val="Normal"/>
            </w:pPr>
            <w:r>
              <w:rPr>
                <w:szCs w:val="22"/>
                <w:lang w:val="en-US" w:eastAsia="en-US" w:bidi="ar-SA"/>
                <w:rFonts w:ascii="Times New Roman" w:hAnsi="Times New Roman" w:eastAsia="Times New Roman" w:cs="Times New Roman"/>
                <w:sz w:val="24"/>
              </w:rPr>
              <w:t>Beliefs alone did not account for observed use</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Negative experience reduces acceptance gradually</w:t>
            </w:r>
          </w:p>
        </w:tc>
        <w:tc>
          <w:tcPr>
            <w:tcW w:w="2974" w:type="dxa"/>
          </w:tcPr>
          <w:p>
            <w:pPr>
              <w:pStyle w:val="Normal"/>
            </w:pPr>
            <w:r>
              <w:rPr>
                <w:szCs w:val="22"/>
                <w:lang w:val="en-US" w:eastAsia="en-US" w:bidi="ar-SA"/>
                <w:rFonts w:ascii="Times New Roman" w:hAnsi="Times New Roman" w:eastAsia="Times New Roman" w:cs="Times New Roman"/>
                <w:sz w:val="24"/>
              </w:rPr>
              <w:t>Reported/observed non-return could occur abruptly within the study window</w:t>
            </w:r>
          </w:p>
        </w:tc>
        <w:tc>
          <w:tcPr>
            <w:tcW w:w="2832" w:type="dxa"/>
          </w:tcPr>
          <w:p>
            <w:pPr>
              <w:pStyle w:val="Normal"/>
            </w:pPr>
            <w:r>
              <w:rPr>
                <w:szCs w:val="22"/>
                <w:lang w:val="en-US" w:eastAsia="en-US" w:bidi="ar-SA"/>
                <w:rFonts w:ascii="Times New Roman" w:hAnsi="Times New Roman" w:eastAsia="Times New Roman" w:cs="Times New Roman"/>
                <w:sz w:val="24"/>
              </w:rPr>
              <w:t>Standard models do not explicitly represent event-triggered non-return</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No construct for failure response</w:t>
            </w:r>
          </w:p>
        </w:tc>
        <w:tc>
          <w:tcPr>
            <w:tcW w:w="2974" w:type="dxa"/>
          </w:tcPr>
          <w:p>
            <w:pPr>
              <w:pStyle w:val="Normal"/>
            </w:pPr>
            <w:r>
              <w:rPr>
                <w:szCs w:val="22"/>
                <w:lang w:val="en-US" w:eastAsia="en-US" w:bidi="ar-SA"/>
                <w:rFonts w:ascii="Times New Roman" w:hAnsi="Times New Roman" w:eastAsia="Times New Roman" w:cs="Times New Roman"/>
                <w:sz w:val="24"/>
              </w:rPr>
              <w:t>First failure was strongly associated with observed dropout in Stage 2</w:t>
            </w:r>
          </w:p>
        </w:tc>
        <w:tc>
          <w:tcPr>
            <w:tcW w:w="2832" w:type="dxa"/>
          </w:tcPr>
          <w:p>
            <w:pPr>
              <w:pStyle w:val="Normal"/>
            </w:pPr>
            <w:r>
              <w:rPr>
                <w:szCs w:val="22"/>
                <w:lang w:val="en-US" w:eastAsia="en-US" w:bidi="ar-SA"/>
                <w:rFonts w:ascii="Times New Roman" w:hAnsi="Times New Roman" w:eastAsia="Times New Roman" w:cs="Times New Roman"/>
                <w:sz w:val="24"/>
              </w:rPr>
              <w:t>Requires a post-contact, time-varying account</w:t>
            </w:r>
          </w:p>
        </w:tc>
      </w:tr>
    </w:tbl>
    <w:p>
      <w:pPr>
        <w:pStyle w:val="Normal"/>
        <w:spacing w:after="40"/>
      </w:pPr>
    </w:p>
    <w:p>
      <w:pPr>
        <w:pStyle w:val="Heading2"/>
      </w:pPr>
      <w:bookmarkStart w:id="60" w:name="_Toc232024558"/>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all eight drives are designer-side levers for building engagement, and the framework contains no user-side account of abandonment (§2.3.2).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0" w:type="auto"/>
        <w:jc w:val="center"/>
        <w:tblLook w:val="04A0" w:firstRow="1" w:lastRow="0" w:firstColumn="1" w:lastColumn="0" w:noHBand="0" w:noVBand="1"/>
      </w:tblPr>
      <w:tblGrid>
        <w:gridCol w:w="2405"/>
        <w:gridCol w:w="2977"/>
        <w:gridCol w:w="3113"/>
      </w:tblGrid>
      <w:tr>
        <w:trPr>
          <w:jc w:val="center"/>
        </w:trPr>
        <w:tc>
          <w:tcPr>
            <w:tcW w:w="2405" w:type="dxa"/>
          </w:tcPr>
          <w:p>
            <w:pPr>
              <w:pStyle w:val="Normal"/>
            </w:pPr>
            <w:r>
              <w:rPr>
                <w:b/>
                <w:sz w:val="20"/>
                <w:szCs w:val="22"/>
                <w:lang w:val="en-US" w:eastAsia="en-US" w:bidi="ar-SA"/>
                <w:rFonts w:ascii="Times New Roman" w:hAnsi="Times New Roman" w:eastAsia="Times New Roman" w:cs="Times New Roman"/>
              </w:rPr>
              <w:t>Octalysis drive</w:t>
            </w:r>
          </w:p>
        </w:tc>
        <w:tc>
          <w:tcPr>
            <w:tcW w:w="2977" w:type="dxa"/>
          </w:tcPr>
          <w:p>
            <w:pPr>
              <w:pStyle w:val="Normal"/>
            </w:pPr>
            <w:r>
              <w:rPr>
                <w:b/>
                <w:sz w:val="20"/>
                <w:szCs w:val="22"/>
                <w:lang w:val="en-US" w:eastAsia="en-US" w:bidi="ar-SA"/>
                <w:rFonts w:ascii="Times New Roman" w:hAnsi="Times New Roman" w:eastAsia="Times New Roman" w:cs="Times New Roman"/>
              </w:rPr>
              <w:t>Standard assumption</w:t>
            </w:r>
          </w:p>
        </w:tc>
        <w:tc>
          <w:tcPr>
            <w:tcW w:w="3113" w:type="dxa"/>
          </w:tcPr>
          <w:p>
            <w:pPr>
              <w:pStyle w:val="Normal"/>
            </w:pPr>
            <w:r>
              <w:rPr>
                <w:szCs w:val="22"/>
                <w:lang w:val="en-US" w:eastAsia="en-US" w:bidi="ar-SA"/>
                <w:rFonts w:ascii="Times New Roman" w:hAnsi="Times New Roman" w:eastAsia="Times New Roman" w:cs="Times New Roman"/>
                <w:sz w:val="24"/>
              </w:rPr>
              <w:t>Context-sensitive possibility in older clinical users</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D2 Accomplishment</w:t>
            </w:r>
          </w:p>
        </w:tc>
        <w:tc>
          <w:tcPr>
            <w:tcW w:w="2977" w:type="dxa"/>
          </w:tcPr>
          <w:p>
            <w:pPr>
              <w:pStyle w:val="Normal"/>
            </w:pPr>
            <w:r>
              <w:rPr>
                <w:sz w:val="20"/>
                <w:szCs w:val="22"/>
                <w:lang w:val="en-US" w:eastAsia="en-US" w:bidi="ar-SA"/>
                <w:rFonts w:ascii="Times New Roman" w:hAnsi="Times New Roman" w:eastAsia="Times New Roman" w:cs="Times New Roman"/>
              </w:rPr>
              <w:t>Achievement challenges motivate</w:t>
            </w:r>
          </w:p>
        </w:tc>
        <w:tc>
          <w:tcPr>
            <w:tcW w:w="3113" w:type="dxa"/>
          </w:tcPr>
          <w:p>
            <w:pPr>
              <w:pStyle w:val="Normal"/>
            </w:pPr>
            <w:r>
              <w:rPr>
                <w:sz w:val="20"/>
                <w:szCs w:val="22"/>
                <w:lang w:val="en-US" w:eastAsia="en-US" w:bidi="ar-SA"/>
                <w:rFonts w:ascii="Times New Roman" w:hAnsi="Times New Roman" w:eastAsia="Times New Roman" w:cs="Times New Roman"/>
              </w:rPr>
              <w:t>May be undermined by failure</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D5 Social Influence</w:t>
            </w:r>
          </w:p>
        </w:tc>
        <w:tc>
          <w:tcPr>
            <w:tcW w:w="2977" w:type="dxa"/>
          </w:tcPr>
          <w:p>
            <w:pPr>
              <w:pStyle w:val="Normal"/>
            </w:pPr>
            <w:r>
              <w:rPr>
                <w:sz w:val="20"/>
                <w:szCs w:val="22"/>
                <w:lang w:val="en-US" w:eastAsia="en-US" w:bidi="ar-SA"/>
                <w:rFonts w:ascii="Times New Roman" w:hAnsi="Times New Roman" w:eastAsia="Times New Roman" w:cs="Times New Roman"/>
              </w:rPr>
              <w:t>Comparison drives engagement</w:t>
            </w:r>
          </w:p>
        </w:tc>
        <w:tc>
          <w:tcPr>
            <w:tcW w:w="3113"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D8 Loss and Avoidance</w:t>
            </w:r>
          </w:p>
        </w:tc>
        <w:tc>
          <w:tcPr>
            <w:tcW w:w="2977" w:type="dxa"/>
          </w:tcPr>
          <w:p>
            <w:pPr>
              <w:pStyle w:val="Normal"/>
            </w:pPr>
            <w:r>
              <w:rPr>
                <w:sz w:val="20"/>
                <w:szCs w:val="22"/>
                <w:lang w:val="en-US" w:eastAsia="en-US" w:bidi="ar-SA"/>
                <w:rFonts w:ascii="Times New Roman" w:hAnsi="Times New Roman" w:eastAsia="Times New Roman" w:cs="Times New Roman"/>
              </w:rPr>
              <w:t>Fear of losing progress sustains play</w:t>
            </w:r>
          </w:p>
        </w:tc>
        <w:tc>
          <w:tcPr>
            <w:tcW w:w="3113"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Korean deployments of the same FRA technology provide a cross-cultural reference point. Park et al. (2019) validated the FRA system against gold-standard balance batteries in community-dwelling older adults, and Kim, Kim and Won (2018) established its test-retest reliability; both studies evidence sustained institutional use of the platform in Korea. A specific sustained-engagement figure quoted in earlier drafts originated in the vendor's catalogue material and is not carried as evidence in this thesis. The Korean comparison is therefore qualitative: whatever design lever supports sustained engagement there has not been identified in the peer-reviewed literature, and this programme is, in part, an investigation of which lever it is.</w:t>
      </w:r>
    </w:p>
    <w:p>
      <w:pPr>
        <w:pStyle w:val="Heading2"/>
      </w:pPr>
      <w:bookmarkStart w:id="65" w:name="_Toc23202456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First, a documented utilisation and non-return problem signature: awareness without use, and self-reported non-return after adverse first experiences, in a population that satisfied every practical precondition the acceptance models name. Second, the identification of a post-contact event — the adverse first experience — that TAM, STAM and Octalysis do not represent. Third, the provisional FIAS construct and the hypotheses of Chapter 5. In the argument of this thesis, Stage 1 is the retrospective evidence consistent with the failure of the null hypothesis H0 (§2.3.5); Stage 2 provides the prospective test. Stage 1 does not validate FIAS, establish permanence, or identify mental accounting, endowment or stereotype threat as causal mechanisms; those propositions are examined prospectively in Stage 2 and probed through participant-facing decoupling in Stage 3. Its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the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2"/>
          <w:szCs w:val="28"/>
          <w:i/>
        </w:rPr>
        <w:t>Chapter 5 Stage 2 — Action Research with Gamified FRA</w:t>
      </w:r>
      <w:bookmarkEnd w:id="66"/>
    </w:p>
    <w:p>
      <w:pPr>
        <w:pStyle w:val="Heading2"/>
      </w:pPr>
      <w:bookmarkStart w:id="67" w:name="_Toc232024564"/>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questions. RQ1: Can a dual-purpose gamified balance activity sustain engagement while generating interpretable performance and FRA-related records? RQ2: How is first-failure experience associated with observed dropout during an eight-week deployment? RQ3: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pPr>
      <w:r>
        <w:rPr>
          <w:szCs w:val="22"/>
          <w:lang w:val="en-US" w:eastAsia="en-US" w:bidi="ar-SA"/>
          <w:rFonts w:ascii="Times New Roman" w:hAnsi="Times New Roman" w:eastAsia="Times New Roman" w:cs="Times New Roman"/>
          <w:sz w:val="24"/>
        </w:rPr>
        <w:t>H0 (null hypothesis, from §2.3.5): A gamified FRA satisfying TAM/STAM acceptance criteria and Octalysis motivational drives will improve elderly acceptance and intention to use, and adverse first experiences will not produce lasting abandonment. Stage 2 provides the primary prospective test of H0; H1, H2 and H4 are the directional hypotheses that structure that test.</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objective-score-improvement/non-return paradox).</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tests a directional frame-sensitive account rather than a fully isolated causal effect.</w:t>
      </w:r>
    </w:p>
    <w:p>
      <w:pPr>
        <w:pStyle w:val="Heading2"/>
      </w:pPr>
      <w:bookmarkStart w:id="68" w:name="_Toc232024565"/>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sufficient one-to-one staffing, and free-of-charge access to the equipment. The standard logistical and economic explanations for low utilisation were absent. The behavioural pattern was therefore observable in clean form: the dropout was not produced by access friction, cost, or staffing scarcity. This is what makes Stage 2 the clean prospective test of the null hypothesis H0 (§2.3.5): every practical precondition the acceptance models name was satisfied, the gamification layer was added to specification, and whatever happened next could only be attributed to how the participants experienced the gamified FRA itself.</w:t>
      </w:r>
    </w:p>
    <w:p>
      <w:pPr>
        <w:pStyle w:val="Heading2"/>
      </w:pPr>
      <w:bookmarkStart w:id="69" w:name="_Toc232024566"/>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dual-purpose mechanic that anchors Stage 2 (and that is preserved through Stage 3) rests on a single observation about the FRA system described in §4.1A: the centre-of-pressure (COP) trace produced by the four-load-cell footplate is sufficient input both for the Step-1 sensory- and nervous-system FRA computation and for a real-time game controller. The same physical action — a balanced shift of body weight on the footplate — can therefore be read twice. From the player’s point of view it is a steering input on a skiing trail. From the clinician’s point of view it is a COP sample on the same instrument that the FRA510S would otherwise drive on its own. Figure 5.0 shows the integration explicitly: the footplate sits at the top, the COP stream branches into a player-facing column on the left and a clinician-facing column on the right, and the questionnaires referenced in §5.4 and Appendix B feed both ledgers through self-report. The two columns meet only at the sensor; the rest of the architecture is deliberately separated.</w:t>
      </w:r>
    </w:p>
    <w:p>
      <w:pPr>
        <w:pStyle w:val="Normal"/>
        <w:keepNext/>
        <w:spacing w:before="160" w:after="40"/>
        <w:jc w:val="center"/>
      </w:pPr>
      <w:r>
        <w:drawing>
          <wp:inline>
            <wp:extent cx="5669280" cy="3229378"/>
            <wp:docPr id="20" name="Picture 20"/>
            <wp:cNvGraphicFramePr>
              <a:graphicFrameLocks noChangeAspect="1"/>
            </wp:cNvGraphicFramePr>
            <a:graphic>
              <a:graphicData uri="http://schemas.openxmlformats.org/drawingml/2006/picture">
                <pic:pic>
                  <pic:nvPicPr>
                    <pic:cNvPr id="0" name="fig_5_0.png"/>
                    <pic:cNvPicPr/>
                  </pic:nvPicPr>
                  <pic:blipFill>
                    <a:blip r:embed="rId29"/>
                    <a:stretch>
                      <a:fillRect/>
                    </a:stretch>
                  </pic:blipFill>
                  <pic:spPr>
                    <a:xfrm>
                      <a:off x="0" y="0"/>
                      <a:ext cx="5669280" cy="3229378"/>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5.0. Integration of the FRA system into the skiing game. The four-load-cell footplate is shared; the COP stream feeds a player-facing pipeline (skiing-game engine, design parameters, adaptive difficulty engine, telemetry logger) on the left and a 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w:t>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 xml:space="preserve">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w:t>
        <w:t>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0" w:type="auto"/>
        <w:jc w:val="center"/>
        <w:tblLook w:val="04A0" w:firstRow="1" w:lastRow="0" w:firstColumn="1" w:lastColumn="0" w:noHBand="0" w:noVBand="1"/>
      </w:tblPr>
      <w:tblGrid>
        <w:gridCol w:w="1271"/>
        <w:gridCol w:w="2268"/>
        <w:gridCol w:w="2126"/>
        <w:gridCol w:w="2830"/>
      </w:tblGrid>
      <w:tr>
        <w:trPr>
          <w:jc w:val="center"/>
        </w:trPr>
        <w:tc>
          <w:tcPr>
            <w:tcW w:w="1271" w:type="dxa"/>
          </w:tcPr>
          <w:p>
            <w:pPr>
              <w:pStyle w:val="Normal"/>
            </w:pPr>
            <w:r>
              <w:rPr>
                <w:b/>
                <w:sz w:val="20"/>
                <w:szCs w:val="22"/>
                <w:lang w:val="en-US" w:eastAsia="en-US" w:bidi="ar-SA"/>
                <w:rFonts w:ascii="Times New Roman" w:hAnsi="Times New Roman" w:eastAsia="Times New Roman" w:cs="Times New Roman"/>
              </w:rPr>
              <w:t>Category</w:t>
            </w:r>
          </w:p>
        </w:tc>
        <w:tc>
          <w:tcPr>
            <w:tcW w:w="2268" w:type="dxa"/>
          </w:tcPr>
          <w:p>
            <w:pPr>
              <w:pStyle w:val="Normal"/>
            </w:pPr>
            <w:r>
              <w:rPr>
                <w:b/>
                <w:sz w:val="20"/>
                <w:szCs w:val="22"/>
                <w:lang w:val="en-US" w:eastAsia="en-US" w:bidi="ar-SA"/>
                <w:rFonts w:ascii="Times New Roman" w:hAnsi="Times New Roman" w:eastAsia="Times New Roman" w:cs="Times New Roman"/>
              </w:rPr>
              <w:t>Parameter</w:t>
            </w:r>
          </w:p>
        </w:tc>
        <w:tc>
          <w:tcPr>
            <w:tcW w:w="2126" w:type="dxa"/>
          </w:tcPr>
          <w:p>
            <w:pPr>
              <w:pStyle w:val="Normal"/>
            </w:pPr>
            <w:r>
              <w:rPr>
                <w:b/>
                <w:sz w:val="20"/>
                <w:szCs w:val="22"/>
                <w:lang w:val="en-US" w:eastAsia="en-US" w:bidi="ar-SA"/>
                <w:rFonts w:ascii="Times New Roman" w:hAnsi="Times New Roman" w:eastAsia="Times New Roman" w:cs="Times New Roman"/>
              </w:rPr>
              <w:t>Value</w:t>
            </w:r>
          </w:p>
        </w:tc>
        <w:tc>
          <w:tcPr>
            <w:tcW w:w="2830" w:type="dxa"/>
          </w:tcPr>
          <w:p>
            <w:pPr>
              <w:pStyle w:val="Normal"/>
            </w:pPr>
            <w:r>
              <w:rPr>
                <w:b/>
                <w:sz w:val="20"/>
                <w:szCs w:val="22"/>
                <w:lang w:val="en-US" w:eastAsia="en-US" w:bidi="ar-SA"/>
                <w:rFonts w:ascii="Times New Roman" w:hAnsi="Times New Roman" w:eastAsia="Times New Roman" w:cs="Times New Roman"/>
              </w:rPr>
              <w:t>Role in FRA-game integration</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Slope</w:t>
            </w:r>
          </w:p>
        </w:tc>
        <w:tc>
          <w:tcPr>
            <w:tcW w:w="2268" w:type="dxa"/>
          </w:tcPr>
          <w:p>
            <w:pPr>
              <w:pStyle w:val="Normal"/>
            </w:pPr>
            <w:r>
              <w:rPr>
                <w:sz w:val="20"/>
                <w:szCs w:val="22"/>
                <w:lang w:val="en-US" w:eastAsia="en-US" w:bidi="ar-SA"/>
                <w:rFonts w:ascii="Times New Roman" w:hAnsi="Times New Roman" w:eastAsia="Times New Roman" w:cs="Times New Roman"/>
              </w:rPr>
              <w:t>slopeWidth / Length / Angle</w:t>
            </w:r>
          </w:p>
        </w:tc>
        <w:tc>
          <w:tcPr>
            <w:tcW w:w="2126" w:type="dxa"/>
          </w:tcPr>
          <w:p>
            <w:pPr>
              <w:pStyle w:val="Normal"/>
            </w:pPr>
            <w:r>
              <w:rPr>
                <w:sz w:val="20"/>
                <w:szCs w:val="22"/>
                <w:lang w:val="en-US" w:eastAsia="en-US" w:bidi="ar-SA"/>
                <w:rFonts w:ascii="Times New Roman" w:hAnsi="Times New Roman" w:eastAsia="Times New Roman" w:cs="Times New Roman"/>
              </w:rPr>
              <w:t>30 m / 2000 m / 12°</w:t>
            </w:r>
          </w:p>
        </w:tc>
        <w:tc>
          <w:tcPr>
            <w:tcW w:w="2830"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Player</w:t>
            </w:r>
          </w:p>
        </w:tc>
        <w:tc>
          <w:tcPr>
            <w:tcW w:w="2268"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2126" w:type="dxa"/>
          </w:tcPr>
          <w:p>
            <w:pPr>
              <w:pStyle w:val="Normal"/>
            </w:pPr>
            <w:r>
              <w:rPr>
                <w:sz w:val="20"/>
                <w:szCs w:val="22"/>
                <w:lang w:val="en-US" w:eastAsia="en-US" w:bidi="ar-SA"/>
                <w:rFonts w:ascii="Times New Roman" w:hAnsi="Times New Roman" w:eastAsia="Times New Roman" w:cs="Times New Roman"/>
              </w:rPr>
              <w:t>8 / 12 / 30 m/s</w:t>
            </w:r>
          </w:p>
        </w:tc>
        <w:tc>
          <w:tcPr>
            <w:tcW w:w="2830"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Balance</w:t>
            </w:r>
          </w:p>
        </w:tc>
        <w:tc>
          <w:tcPr>
            <w:tcW w:w="2268"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2126"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2830"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Obstacles</w:t>
            </w:r>
          </w:p>
        </w:tc>
        <w:tc>
          <w:tcPr>
            <w:tcW w:w="2268"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2126" w:type="dxa"/>
          </w:tcPr>
          <w:p>
            <w:pPr>
              <w:pStyle w:val="Normal"/>
            </w:pPr>
            <w:r>
              <w:rPr>
                <w:sz w:val="20"/>
                <w:szCs w:val="22"/>
                <w:lang w:val="en-US" w:eastAsia="en-US" w:bidi="ar-SA"/>
                <w:rFonts w:ascii="Times New Roman" w:hAnsi="Times New Roman" w:eastAsia="Times New Roman" w:cs="Times New Roman"/>
              </w:rPr>
              <w:t>0.4/m; 120 m / 30 m; 0.4–1.0 m</w:t>
            </w:r>
          </w:p>
        </w:tc>
        <w:tc>
          <w:tcPr>
            <w:tcW w:w="2830"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Coins</w:t>
            </w:r>
          </w:p>
        </w:tc>
        <w:tc>
          <w:tcPr>
            <w:tcW w:w="2268"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2126" w:type="dxa"/>
          </w:tcPr>
          <w:p>
            <w:pPr>
              <w:pStyle w:val="Normal"/>
            </w:pPr>
            <w:r>
              <w:rPr>
                <w:sz w:val="20"/>
                <w:szCs w:val="22"/>
                <w:lang w:val="en-US" w:eastAsia="en-US" w:bidi="ar-SA"/>
                <w:rFonts w:ascii="Times New Roman" w:hAnsi="Times New Roman" w:eastAsia="Times New Roman" w:cs="Times New Roman"/>
              </w:rPr>
              <w:t>0.3/m; 10 pts; 3 %</w:t>
            </w:r>
          </w:p>
        </w:tc>
        <w:tc>
          <w:tcPr>
            <w:tcW w:w="2830"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Lives</w:t>
            </w:r>
          </w:p>
        </w:tc>
        <w:tc>
          <w:tcPr>
            <w:tcW w:w="2268"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2126"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2830"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Difficulty</w:t>
            </w:r>
          </w:p>
        </w:tc>
        <w:tc>
          <w:tcPr>
            <w:tcW w:w="2268"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2126" w:type="dxa"/>
          </w:tcPr>
          <w:p>
            <w:pPr>
              <w:pStyle w:val="Normal"/>
            </w:pPr>
            <w:r>
              <w:rPr>
                <w:sz w:val="20"/>
                <w:szCs w:val="22"/>
                <w:lang w:val="en-US" w:eastAsia="en-US" w:bidi="ar-SA"/>
                <w:rFonts w:ascii="Times New Roman" w:hAnsi="Times New Roman" w:eastAsia="Times New Roman" w:cs="Times New Roman"/>
              </w:rPr>
              <w:t>\+0.15 / 200 m; 0.42–1.43</w:t>
            </w:r>
          </w:p>
        </w:tc>
        <w:tc>
          <w:tcPr>
            <w:tcW w:w="2830" w:type="dxa"/>
          </w:tcPr>
          <w:p>
            <w:pPr>
              <w:pStyle w:val="Normal"/>
            </w:pPr>
            <w:r>
              <w:rPr>
                <w:sz w:val="20"/>
                <w:szCs w:val="22"/>
                <w:lang w:val="en-US" w:eastAsia="en-US" w:bidi="ar-SA"/>
                <w:rFonts w:ascii="Times New Roman" w:hAnsi="Times New Roman" w:eastAsia="Times New Roman" w:cs="Times New Roman"/>
              </w:rPr>
              <w:t>Adaptive layer (L2) that protects the flow band for FRA-aligned cohorts.</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Game Over state is retained in the Stage-2 build for behavioural-economic measurement: the construct that the thesis names — FIAS — is most cleanly observed in the presence of a verdict-shaped fail-state, which is precisely what the Stage-2 build provides. The loss-free, non-terminal repertoire introduced at §5.3.10 is the design response that the Stage-3 result and the Chapter 7 adaptive-learning prescription motivate; it is the natural successor build, and Figure 5.0 shows where it would be installed in the integration map (the L5–L6 block on the player-facing column).</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pPr>
        <w:pStyle w:val="Heading2"/>
      </w:pPr>
      <w:bookmarkStart w:id="71" w:name="_Toc232024567"/>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pPr>
        <w:pStyle w:val="Heading3"/>
      </w:pPr>
      <w:bookmarkStart w:id="73" w:name="_Toc23202456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jc w:val="center"/>
      </w:pPr>
      <w:bookmarkStart w:id="75" w:name="_Toc232024682"/>
      <w:r>
        <w:rPr>
          <w:sz w:val="24"/>
          <w:szCs w:val="22"/>
          <w:lang w:val="en-US" w:eastAsia="en-US" w:bidi="ar-SA"/>
          <w:rFonts w:ascii="Times New Roman" w:hAnsi="Times New Roman" w:eastAsia="Times New Roman" w:cs="Times New Roman"/>
          <w:i/>
          <w:b/>
        </w:rPr>
        <w:t>Figure 5.1. Skiing game on-screen display. The skier is controlled through Centre-of-Pressure shifts on the InBody panel; trees and rocks act as obstacles, gold coins reward forward play, and a level-and-score display is anchored to the top of the screen.</w:t>
      </w:r>
      <w:bookmarkEnd w:id="75"/>
    </w:p>
    <w:p>
      <w:pPr>
        <w:pStyle w:val="Normal"/>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G.8). Photography of study participants was not permitted under the residential facility's privacy rules, so no participant play imagery exists; this development-phase demonstration stands in its place.</w:t>
      </w:r>
    </w:p>
    <w:p>
      <w:pPr>
        <w:pStyle w:val="Normal"/>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5.1B. The deployed game artefact across difficulty levels 1–5. Obstacle spawn rate scales with the difficulty multiplier (×0.40 to ×1.40), stones become more frequent relative to trees, and boulder pairs appear from Level 3 upward; the skier is steered by lateral weight shift and coins reward forward play. Screenshots captured from the programme's archived game build — the successor build in the same design lineage as the Stage-2 deployment.</w:t>
      </w:r>
    </w:p>
    <w:p>
      <w:pPr>
        <w:pStyle w:val="Heading3"/>
      </w:pPr>
      <w:bookmarkStart w:id="76" w:name="_Toc23202457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The dual-purpose mechanic links Layer 0 (sensor input) and Layer 4 (clinical output) through the gameplay layers without exposing clinical numbers to the user during play.</w:t>
      </w:r>
      <w:bookmarkEnd w:id="77"/>
    </w:p>
    <w:p>
      <w:pPr>
        <w:pStyle w:val="Heading3"/>
      </w:pPr>
      <w:bookmarkStart w:id="78" w:name="_Toc23202457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thresholds for in-session difficulty change are set at 80% and 40% success rate. Above 80%, difficulty rises to keep the user near the edge of their ability; below 40%, difficulty falls to prevent the user from being pushed into the failure cascade described in Chapter 4. The threshold values are conservative defaults intended to keep the user inside the flow band and remain a tunable component of Layer 2 in any future deployment.</w:t>
      </w:r>
    </w:p>
    <w:p>
      <w:pPr>
        <w:pStyle w:val="Heading3"/>
      </w:pPr>
      <w:bookmarkStart w:id="79" w:name="_Toc232024573"/>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0" w:type="auto"/>
        <w:jc w:val="center"/>
        <w:tblLook w:val="04A0" w:firstRow="1" w:lastRow="0" w:firstColumn="1" w:lastColumn="0" w:noHBand="0" w:noVBand="1"/>
      </w:tblPr>
      <w:tblGrid>
        <w:gridCol w:w="1129"/>
        <w:gridCol w:w="7366"/>
      </w:tblGrid>
      <w:tr>
        <w:trPr>
          <w:jc w:val="center"/>
        </w:trPr>
        <w:tc>
          <w:tcPr>
            <w:tcW w:w="1129" w:type="dxa"/>
          </w:tcPr>
          <w:p>
            <w:pPr>
              <w:pStyle w:val="Normal"/>
            </w:pPr>
            <w:r>
              <w:rPr>
                <w:b/>
                <w:sz w:val="20"/>
                <w:szCs w:val="22"/>
                <w:lang w:val="en-US" w:eastAsia="en-US" w:bidi="ar-SA"/>
                <w:rFonts w:ascii="Times New Roman" w:hAnsi="Times New Roman" w:eastAsia="Times New Roman" w:cs="Times New Roman"/>
              </w:rPr>
              <w:t>Dimension</w:t>
            </w:r>
          </w:p>
        </w:tc>
        <w:tc>
          <w:tcPr>
            <w:tcW w:w="7366" w:type="dxa"/>
          </w:tcPr>
          <w:p>
            <w:pPr>
              <w:pStyle w:val="Normal"/>
            </w:pPr>
            <w:r>
              <w:rPr>
                <w:b/>
                <w:sz w:val="20"/>
                <w:szCs w:val="22"/>
                <w:lang w:val="en-US" w:eastAsia="en-US" w:bidi="ar-SA"/>
                <w:rFonts w:ascii="Times New Roman" w:hAnsi="Times New Roman" w:eastAsia="Times New Roman" w:cs="Times New Roman"/>
              </w:rPr>
              <w:t>Fields</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User</w:t>
            </w:r>
          </w:p>
        </w:tc>
        <w:tc>
          <w:tcPr>
            <w:tcW w:w="7366"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Game</w:t>
            </w:r>
          </w:p>
        </w:tc>
        <w:tc>
          <w:tcPr>
            <w:tcW w:w="7366"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Result</w:t>
            </w:r>
          </w:p>
        </w:tc>
        <w:tc>
          <w:tcPr>
            <w:tcW w:w="7366"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5.3.8 Why a Skiing Game?</w:t>
      </w:r>
      <w:bookmarkEnd w:id="82"/>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and pressure-panel interaction while changing multiple participant-facing clinical cues. The comparison therefore reduces some artefact-level variation but does not isolate framing from all procedural, interface, cohort and contextual differences.</w:t>
      </w:r>
    </w:p>
    <w:p>
      <w:pPr>
        <w:pStyle w:val="Heading3"/>
      </w:pPr>
      <w:bookmarkStart w:id="83" w:name="_Toc23202457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pStyle w:val="Normal"/>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G.8),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w:t>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abandonment persisted, indicating that the loss driving non-return was never the in-game loss. What remained untouched in Stage 2 was the verdict: the terminal Game Over and the clinical frame around it. The zero-failure repertoire below removes the verdict; the theoretical case is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t>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t>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(FRA_Raw_Data_N30.xlsx; Appendix G, item G.2) contains one record per participant: gender, age, the recorded FRA index before and after the deployment window, presenting fall-risk symptoms, the number of completed game cycles, self-reported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(§5.2A); the three-or-fewer-cycles threshold defines the low-engagement group referenced in H1 (§5.1).</w:t>
      </w:r>
    </w:p>
    <w:p>
      <w:pPr>
        <w:pStyle w:val="Normal"/>
      </w:pPr>
      <w:r>
        <w:rPr>
          <w:szCs w:val="22"/>
          <w:lang w:val="en-US" w:eastAsia="en-US" w:bidi="ar-SA"/>
          <w:rFonts w:ascii="Times New Roman" w:hAnsi="Times New Roman" w:eastAsia="Times New Roman" w:cs="Times New Roman"/>
          <w:sz w:val="24"/>
        </w:rPr>
        <w:t>The primary outcome answers H0 directly, and negatively.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Neither gender (Fisher's exact p = 0.69) nor age (Spearman ρ = −0.18, p = 0.34) was reliably associated with the number of completed cycles in this small sample.</w:t>
      </w:r>
    </w:p>
    <w:p>
      <w:pPr>
        <w:pStyle w:val="FigureCaption"/>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0" w:type="auto"/>
        <w:jc w:val="center"/>
        <w:tblLook w:val="04A0" w:firstRow="1" w:lastRow="0" w:firstColumn="1" w:lastColumn="0" w:noHBand="0" w:noVBand="1"/>
      </w:tblPr>
      <w:tblGrid>
        <w:gridCol w:w="4248"/>
        <w:gridCol w:w="4247"/>
      </w:tblGrid>
      <w:tr>
        <w:trPr>
          <w:jc w:val="center"/>
        </w:trPr>
        <w:tc>
          <w:tcPr>
            <w:tcW w:w="4248" w:type="dxa"/>
          </w:tcPr>
          <w:p>
            <w:pPr>
              <w:pStyle w:val="Normal"/>
            </w:pPr>
            <w:r>
              <w:rPr>
                <w:b/>
                <w:sz w:val="28"/>
                <w:szCs w:val="26"/>
                <w:lang w:val="en-US" w:eastAsia="en-US" w:bidi="ar-SA"/>
                <w:rFonts w:ascii="Times New Roman" w:hAnsi="Times New Roman" w:eastAsia="Times New Roman" w:cs="Times New Roman"/>
              </w:rPr>
              <w:t>Engagement metric</w:t>
            </w:r>
          </w:p>
        </w:tc>
        <w:tc>
          <w:tcPr>
            <w:tcW w:w="4247" w:type="dxa"/>
          </w:tcPr>
          <w:p>
            <w:pPr>
              <w:pStyle w:val="Normal"/>
            </w:pPr>
            <w:r>
              <w:rPr>
                <w:b/>
                <w:sz w:val="28"/>
                <w:szCs w:val="26"/>
                <w:lang w:val="en-US" w:eastAsia="en-US" w:bidi="ar-SA"/>
                <w:rFonts w:ascii="Times New Roman" w:hAnsi="Times New Roman" w:eastAsia="Times New Roman" w:cs="Times New Roman"/>
              </w:rPr>
              <w:t>Value</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Low engagement (≤ 3 cycles)</w:t>
            </w:r>
          </w:p>
        </w:tc>
        <w:tc>
          <w:tcPr>
            <w:tcW w:w="4247" w:type="dxa"/>
          </w:tcPr>
          <w:p>
            <w:pPr>
              <w:pStyle w:val="Normal"/>
            </w:pPr>
            <w:r>
              <w:rPr>
                <w:sz w:val="20"/>
                <w:szCs w:val="22"/>
                <w:lang w:val="en-US" w:eastAsia="en-US" w:bidi="ar-SA"/>
                <w:rFonts w:ascii="Times New Roman" w:hAnsi="Times New Roman" w:eastAsia="Times New Roman" w:cs="Times New Roman"/>
              </w:rPr>
              <w:t>21/30 (70%)</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Sustained (≥ 4 cycles)</w:t>
            </w:r>
          </w:p>
        </w:tc>
        <w:tc>
          <w:tcPr>
            <w:tcW w:w="4247" w:type="dxa"/>
          </w:tcPr>
          <w:p>
            <w:pPr>
              <w:pStyle w:val="Normal"/>
            </w:pPr>
            <w:r>
              <w:rPr>
                <w:sz w:val="20"/>
                <w:szCs w:val="22"/>
                <w:lang w:val="en-US" w:eastAsia="en-US" w:bidi="ar-SA"/>
                <w:rFonts w:ascii="Times New Roman" w:hAnsi="Times New Roman" w:eastAsia="Times New Roman" w:cs="Times New Roman"/>
              </w:rPr>
              <w:t>9/30 (30%)</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Single-session exits</w:t>
            </w:r>
          </w:p>
        </w:tc>
        <w:tc>
          <w:tcPr>
            <w:tcW w:w="4247" w:type="dxa"/>
          </w:tcPr>
          <w:p>
            <w:pPr>
              <w:pStyle w:val="Normal"/>
            </w:pPr>
            <w:r>
              <w:rPr>
                <w:sz w:val="20"/>
                <w:szCs w:val="22"/>
                <w:lang w:val="en-US" w:eastAsia="en-US" w:bidi="ar-SA"/>
                <w:rFonts w:ascii="Times New Roman" w:hAnsi="Times New Roman" w:eastAsia="Times New Roman" w:cs="Times New Roman"/>
              </w:rPr>
              <w:t>8/30 (27%)</w:t>
            </w:r>
          </w:p>
        </w:tc>
      </w:tr>
      <w:tr>
        <w:trPr>
          <w:jc w:val="center"/>
        </w:trPr>
        <w:tc>
          <w:tcPr>
            <w:tcW w:w="4248"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4247"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before the deployment to 48.9 ± 9.4 after it: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pPr>
        <w:pStyle w:val="Normal"/>
      </w:pPr>
      <w:r>
        <w:rPr>
          <w:szCs w:val="22"/>
          <w:lang w:val="en-US" w:eastAsia="en-US" w:bidi="ar-SA"/>
          <w:rFonts w:ascii="Times New Roman" w:hAnsi="Times New Roman" w:eastAsia="Times New Roman" w:cs="Times New Roman"/>
          <w:sz w:val="24"/>
        </w:rPr>
        <w:t>The self-reported and recorded ledgers diverge in an instructive way. Eighteen of thirty participants (60.0%, 95% CI 42.3–75.4%) reported symptom improvement after the deployment and twenty (66.7%, 95% CI 48.8–80.8%) were satisfied or very satisfied. Satisfaction was strongly associated with sustained engagement: all nine sustained participants were satisfied, against eleven of twenty-one in the low-engagement group (Fisher's exact p = 0.013). Self-reported symptom improvement showed the same direction but did not reach significance (7 of 9 versus 11 of 21; Fisher's exact p = 0.25). Among the eight single-session participants, five recorded a positive index change yet only two reported any improvement and none returned — the archived form of the divergence that Chapter 5 names the objective-score-improvement/non-return paradox, subject to the direction caveat above. Excluding the single unverified record does not alter any of these conclusions.</w:t>
      </w:r>
    </w:p>
    <w:p>
      <w:pPr>
        <w:jc w:val="center"/>
      </w:pPr>
      <w:bookmarkStart w:id="88" w:name="_Toc232024700"/>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carries the evidential weight instead.</w:t>
      </w:r>
      <w:bookmarkEnd w:id="88"/>
    </w:p>
    <w:p w14:paraId="2E16D01A" w14:textId="77777777" w:rsidR="00EE7E37" w:rsidRDefault="00000000">
      <w:pPr>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5.4. Participant-level pre/post recorded FRA index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5360944" cy="3332860"/>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5394014" cy="3353419"/>
                    </a:xfrm>
                    <a:prstGeom prst="rect">
                      <a:avLst/>
                    </a:prstGeom>
                    <a:ln>
                      <a:noFill/>
                    </a:ln>
                    <a:extLst>
                      <a:ext uri="{53640926-AAD7-44D8-BBD7-CCE9431645EC}">
                        <ns8:shadowObscured/>
                      </a:ext>
                    </a:extLs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5.5A Translating the Findings into Design Priorities: A QFD Pipeline</w:t>
      </w:r>
    </w:p>
    <w:p>
      <w:pPr>
        <w:pStyle w:val="Normal"/>
      </w:pPr>
      <w:r>
        <w:rPr>
          <w:szCs w:val="22"/>
          <w:lang w:val="en-US" w:eastAsia="en-US" w:bidi="ar-SA"/>
          <w:rFonts w:ascii="Times New Roman" w:hAnsi="Times New Roman" w:eastAsia="Times New Roman" w:cs="Times New Roman"/>
          <w:sz w:val="24"/>
        </w:rPr>
        <w:t>The statistical analysis above establishes what happened; it does not by itself say what the game should do next. Quality Function Deployment (QFD) supplies that translation. QFD is an engineering method that maps the voice of the user — needs expressed in the users' own terms — onto measurable technical characteristics of the product, and weights each mapping by the strength of the underlying evidence (Akao, 1990; Chan &amp; Wu, 2002). It is a requirements-translation tool, not a statistical model: in this thesis QFD consumes the statistical findings and returns design priorities, while the hypothesis tests themselves remain the province of the estimators reported in §5.5.</w:t>
      </w:r>
    </w:p>
    <w:p>
      <w:pPr>
        <w:pStyle w:val="Normal"/>
      </w:pPr>
      <w:r>
        <w:rPr>
          <w:szCs w:val="22"/>
          <w:lang w:val="en-US" w:eastAsia="en-US" w:bidi="ar-SA"/>
          <w:rFonts w:ascii="Times New Roman" w:hAnsi="Times New Roman" w:eastAsia="Times New Roman" w:cs="Times New Roman"/>
          <w:sz w:val="24"/>
        </w:rPr>
        <w:t>Table 5.3 presents the deployment matrix. The rows are user needs derived from the Stage-1 survey, the Stage-2 telemetry and the Stage-2 self-reports, each anchored to the empirical finding that evidences it and to the TAM, STAM or Octalysis construct it instantiates. The columns are the game's technical characteristics: the adaptive difficulty layer (§5.3.5), the loss-free dynamic game states (§5.3.10), the trajectory display (L5), the coin-reward loop and the staff coaching protocol (L6). A strong relationship (●) indicates that the feature directly serves the need; a moderate relationship (◐) indicates partial or indirect support; a blank cell indicates no designed relationship.</w:t>
      </w:r>
    </w:p>
    <w:p>
      <w:pPr>
        <w:pStyle w:val="FigureCaption"/>
      </w:pPr>
      <w:r>
        <w:rPr>
          <w:sz w:val="24"/>
          <w:szCs w:val="22"/>
          <w:lang w:val="en-US" w:eastAsia="en-US" w:bidi="ar-SA"/>
          <w:rFonts w:ascii="Times New Roman" w:hAnsi="Times New Roman" w:eastAsia="Times New Roman" w:cs="Times New Roman"/>
          <w:i/>
          <w:b/>
        </w:rPr>
        <w:t>Table 5.3. QFD deployment matrix: user needs evidenced by the Stage-1 and Stage-2 data, mapped onto the game's technical characteristics. ● strong designed relationship; ◐ moderate or indirect relationship.</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pPr>
              <w:pStyle w:val="Normal"/>
            </w:pPr>
            <w:r>
              <w:rPr>
                <w:b/>
                <w:sz w:val="28"/>
                <w:szCs w:val="26"/>
                <w:lang w:val="en-US" w:eastAsia="en-US" w:bidi="ar-SA"/>
                <w:rFonts w:ascii="Times New Roman" w:hAnsi="Times New Roman" w:eastAsia="Times New Roman" w:cs="Times New Roman"/>
              </w:rPr>
              <w:t>User need (voice of the user)</w:t>
            </w:r>
          </w:p>
        </w:tc>
        <w:tc>
          <w:tcPr>
            <w:tcW w:type="dxa" w:w="1215"/>
          </w:tcPr>
          <w:p>
            <w:pPr>
              <w:pStyle w:val="Normal"/>
            </w:pPr>
            <w:r>
              <w:rPr>
                <w:b/>
                <w:sz w:val="28"/>
                <w:szCs w:val="26"/>
                <w:lang w:val="en-US" w:eastAsia="en-US" w:bidi="ar-SA"/>
                <w:rFonts w:ascii="Times New Roman" w:hAnsi="Times New Roman" w:eastAsia="Times New Roman" w:cs="Times New Roman"/>
              </w:rPr>
              <w:t>Evidence from the data</w:t>
            </w:r>
          </w:p>
        </w:tc>
        <w:tc>
          <w:tcPr>
            <w:tcW w:type="dxa" w:w="1215"/>
          </w:tcPr>
          <w:p>
            <w:pPr>
              <w:pStyle w:val="Normal"/>
            </w:pPr>
            <w:r>
              <w:rPr>
                <w:b/>
                <w:sz w:val="28"/>
                <w:szCs w:val="26"/>
                <w:lang w:val="en-US" w:eastAsia="en-US" w:bidi="ar-SA"/>
                <w:rFonts w:ascii="Times New Roman" w:hAnsi="Times New Roman" w:eastAsia="Times New Roman" w:cs="Times New Roman"/>
              </w:rPr>
              <w:t>Construct</w:t>
            </w:r>
          </w:p>
        </w:tc>
        <w:tc>
          <w:tcPr>
            <w:tcW w:type="dxa" w:w="1215"/>
          </w:tcPr>
          <w:p>
            <w:pPr>
              <w:pStyle w:val="Normal"/>
            </w:pPr>
            <w:r>
              <w:rPr>
                <w:b/>
                <w:sz w:val="28"/>
                <w:szCs w:val="26"/>
                <w:lang w:val="en-US" w:eastAsia="en-US" w:bidi="ar-SA"/>
                <w:rFonts w:ascii="Times New Roman" w:hAnsi="Times New Roman" w:eastAsia="Times New Roman" w:cs="Times New Roman"/>
              </w:rPr>
              <w:t>Adaptive difficulty (L2)</w:t>
            </w:r>
          </w:p>
        </w:tc>
        <w:tc>
          <w:tcPr>
            <w:tcW w:type="dxa" w:w="1215"/>
          </w:tcPr>
          <w:p>
            <w:pPr>
              <w:pStyle w:val="Normal"/>
            </w:pPr>
            <w:r>
              <w:rPr>
                <w:b/>
                <w:sz w:val="28"/>
                <w:szCs w:val="26"/>
                <w:lang w:val="en-US" w:eastAsia="en-US" w:bidi="ar-SA"/>
                <w:rFonts w:ascii="Times New Roman" w:hAnsi="Times New Roman" w:eastAsia="Times New Roman" w:cs="Times New Roman"/>
              </w:rPr>
              <w:t>Loss-free states</w:t>
            </w:r>
          </w:p>
        </w:tc>
        <w:tc>
          <w:tcPr>
            <w:tcW w:type="dxa" w:w="1215"/>
          </w:tcPr>
          <w:p>
            <w:pPr>
              <w:pStyle w:val="Normal"/>
            </w:pPr>
            <w:r>
              <w:rPr>
                <w:b/>
                <w:sz w:val="28"/>
                <w:szCs w:val="26"/>
                <w:lang w:val="en-US" w:eastAsia="en-US" w:bidi="ar-SA"/>
                <w:rFonts w:ascii="Times New Roman" w:hAnsi="Times New Roman" w:eastAsia="Times New Roman" w:cs="Times New Roman"/>
              </w:rPr>
              <w:t>Trajectory display (L5)</w:t>
            </w:r>
          </w:p>
        </w:tc>
        <w:tc>
          <w:tcPr>
            <w:tcW w:type="dxa" w:w="1215"/>
          </w:tcPr>
          <w:p>
            <w:pPr>
              <w:pStyle w:val="Normal"/>
            </w:pPr>
            <w:r>
              <w:rPr>
                <w:b/>
                <w:sz w:val="28"/>
                <w:szCs w:val="26"/>
                <w:lang w:val="en-US" w:eastAsia="en-US" w:bidi="ar-SA"/>
                <w:rFonts w:ascii="Times New Roman" w:hAnsi="Times New Roman" w:eastAsia="Times New Roman" w:cs="Times New Roman"/>
              </w:rPr>
              <w:t>Coaching (L6)</w:t>
            </w:r>
          </w:p>
        </w:tc>
      </w:tr>
      <w:tr>
        <w:tc>
          <w:tcPr>
            <w:tcW w:type="dxa" w:w="1215"/>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1215"/>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1215"/>
          </w:tcPr>
          <w:p>
            <w:pPr>
              <w:pStyle w:val="Normal"/>
            </w:pPr>
            <w:r>
              <w:rPr>
                <w:sz w:val="20"/>
                <w:szCs w:val="22"/>
                <w:lang w:val="en-US" w:eastAsia="en-US" w:bidi="ar-SA"/>
                <w:rFonts w:ascii="Times New Roman" w:hAnsi="Times New Roman" w:eastAsia="Times New Roman" w:cs="Times New Roman"/>
              </w:rPr>
              <w:t>Flow / PEOU (TAM)</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1215"/>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1215"/>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Visible personal progress</w:t>
            </w:r>
          </w:p>
        </w:tc>
        <w:tc>
          <w:tcPr>
            <w:tcW w:type="dxa" w:w="1215"/>
          </w:tcPr>
          <w:p>
            <w:pPr>
              <w:pStyle w:val="Normal"/>
            </w:pPr>
            <w:r>
              <w:rPr>
                <w:sz w:val="20"/>
                <w:szCs w:val="22"/>
                <w:lang w:val="en-US" w:eastAsia="en-US" w:bidi="ar-SA"/>
                <w:rFonts w:ascii="Times New Roman" w:hAnsi="Times New Roman" w:eastAsia="Times New Roman" w:cs="Times New Roman"/>
              </w:rPr>
              <w:t>Recorded index and self-report diverge (5/8 single-session positive change, 2/8 felt improvement)</w:t>
            </w:r>
          </w:p>
        </w:tc>
        <w:tc>
          <w:tcPr>
            <w:tcW w:type="dxa" w:w="1215"/>
          </w:tcPr>
          <w:p>
            <w:pPr>
              <w:pStyle w:val="Normal"/>
            </w:pPr>
            <w:r>
              <w:rPr>
                <w:sz w:val="20"/>
                <w:szCs w:val="22"/>
                <w:lang w:val="en-US" w:eastAsia="en-US" w:bidi="ar-SA"/>
                <w:rFonts w:ascii="Times New Roman" w:hAnsi="Times New Roman" w:eastAsia="Times New Roman" w:cs="Times New Roman"/>
              </w:rPr>
              <w:t>Competence (SDT) / D2</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1215"/>
          </w:tcPr>
          <w:p>
            <w:pPr>
              <w:pStyle w:val="Normal"/>
            </w:pPr>
            <w:r>
              <w:rPr>
                <w:sz w:val="20"/>
                <w:szCs w:val="22"/>
                <w:lang w:val="en-US" w:eastAsia="en-US" w:bidi="ar-SA"/>
                <w:rFonts w:ascii="Times New Roman" w:hAnsi="Times New Roman" w:eastAsia="Times New Roman" w:cs="Times New Roman"/>
              </w:rPr>
              <w:t>60.0% self-reported improvement; satisfaction associated with staying</w:t>
            </w:r>
          </w:p>
        </w:tc>
        <w:tc>
          <w:tcPr>
            <w:tcW w:type="dxa" w:w="1215"/>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1215"/>
          </w:tcPr>
          <w:p>
            <w:pPr>
              <w:pStyle w:val="Normal"/>
            </w:pPr>
            <w:r>
              <w:rPr>
                <w:sz w:val="20"/>
                <w:szCs w:val="22"/>
                <w:lang w:val="en-US" w:eastAsia="en-US" w:bidi="ar-SA"/>
                <w:rFonts w:ascii="Times New Roman" w:hAnsi="Times New Roman" w:eastAsia="Times New Roman" w:cs="Times New Roman"/>
              </w:rPr>
              <w:t>Coin loop sustained play in completers (≥4 cycles: 9/30)</w:t>
            </w:r>
          </w:p>
        </w:tc>
        <w:tc>
          <w:tcPr>
            <w:tcW w:type="dxa" w:w="1215"/>
          </w:tcPr>
          <w:p>
            <w:pPr>
              <w:pStyle w:val="Normal"/>
            </w:pPr>
            <w:r>
              <w:rPr>
                <w:sz w:val="20"/>
                <w:szCs w:val="22"/>
                <w:lang w:val="en-US" w:eastAsia="en-US" w:bidi="ar-SA"/>
                <w:rFonts w:ascii="Times New Roman" w:hAnsi="Times New Roman" w:eastAsia="Times New Roman" w:cs="Times New Roman"/>
              </w:rPr>
              <w:t>Learn-to-earn / D4</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r>
      <w:tr>
        <w:tc>
          <w:tcPr>
            <w:tcW w:type="dxa" w:w="1215"/>
          </w:tcPr>
          <w:p>
            <w:pPr>
              <w:pStyle w:val="Normal"/>
            </w:pPr>
            <w:r>
              <w:rPr>
                <w:sz w:val="20"/>
                <w:szCs w:val="22"/>
                <w:lang w:val="en-US" w:eastAsia="en-US" w:bidi="ar-SA"/>
                <w:rFonts w:ascii="Times New Roman" w:hAnsi="Times New Roman" w:eastAsia="Times New Roman" w:cs="Times New Roman"/>
              </w:rPr>
              <w:t>A reason to come back</w:t>
            </w:r>
          </w:p>
        </w:tc>
        <w:tc>
          <w:tcPr>
            <w:tcW w:type="dxa" w:w="1215"/>
          </w:tcPr>
          <w:p>
            <w:pPr>
              <w:pStyle w:val="Normal"/>
            </w:pPr>
            <w:r>
              <w:rPr>
                <w:sz w:val="20"/>
                <w:szCs w:val="22"/>
                <w:lang w:val="en-US" w:eastAsia="en-US" w:bidi="ar-SA"/>
                <w:rFonts w:ascii="Times New Roman" w:hAnsi="Times New Roman" w:eastAsia="Times New Roman" w:cs="Times New Roman"/>
              </w:rPr>
              <w:t>No observed return in Stage 2; Stage-3 decoupled cohort returned 15/23</w:t>
            </w:r>
          </w:p>
        </w:tc>
        <w:tc>
          <w:tcPr>
            <w:tcW w:type="dxa" w:w="1215"/>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bl>
    <w:p>
      <w:pPr>
        <w:pStyle w:val="Normal"/>
      </w:pPr>
      <w:r>
        <w:rPr>
          <w:szCs w:val="22"/>
          <w:lang w:val="en-US" w:eastAsia="en-US" w:bidi="ar-SA"/>
          <w:rFonts w:ascii="Times New Roman" w:hAnsi="Times New Roman" w:eastAsia="Times New Roman" w:cs="Times New Roman"/>
          <w:sz w:val="24"/>
        </w:rPr>
        <w:t>Read column-wise, the matrix states the analysis pipeline's design verdict. The adaptive difficulty layer is the primary carrier of the challenge–skill need that the engagement data make most urgent. The loss-free state repertoire and the coaching protocol are the primary carriers of the verdict-avoidance need evidenced by the zero re-engagement observation. The trajectory display carries the progress-visibility need that the recorded-versus-self-reported divergence exposes. Read row-wise, every need is served by at least two features, which is the redundancy QFD prescribes for needs whose failure modes are severe. The matrix also fixes what the next evaluation cycle must measure: each cell is a testable claim that the feature moves the evidence indicator in its row, and the limitations acknowledged in §5.9 and §8.6 — small sample, short observation window, measurement constraints and self-report bias — bound how far any cell can currently be asserted.</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5.6 The F4 Cluster and the Objective-Score-Improvement/Non-Return Paradox</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specified in the codebook in Appendix B.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is termed the objective-score-improvement/non-return paradox, and it is the single observation that most clearly separates the FIAS account from the acceptance models: a technology that was demonstrably working, by its own measure, was abandoned anyway. It is exactly the pattern that the endowment row of Table 2.1 predicts — exit protects a valued self-description from revaluation, so improvement in the score does not bring the user back.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paradox of §5.6 is its footprint.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669280" cy="2729052"/>
            <wp:docPr id="23" name="Picture 23"/>
            <wp:cNvGraphicFramePr>
              <a:graphicFrameLocks noChangeAspect="1"/>
            </wp:cNvGraphicFramePr>
            <a:graphic>
              <a:graphicData uri="http://schemas.openxmlformats.org/drawingml/2006/picture">
                <pic:pic>
                  <pic:nvPicPr>
                    <pic:cNvPr id="0" name="fig_5_7.png"/>
                    <pic:cNvPicPr/>
                  </pic:nvPicPr>
                  <pic:blipFill>
                    <a:blip r:embed="rId32"/>
                    <a:stretch>
                      <a:fillRect/>
                    </a:stretch>
                  </pic:blipFill>
                  <pic:spPr>
                    <a:xfrm>
                      <a:off x="0" y="0"/>
                      <a:ext cx="5669280" cy="2729052"/>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p>
    <w:p>
      <w:pPr>
        <w:pStyle w:val="Heading2"/>
      </w:pPr>
      <w:bookmarkStart w:id="91" w:name="_Toc23202458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was measured once before and once after the window on a single instrument whose short-interval test-retest variability is non-trivial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joins the baseline battery in the confirmatory study; the embedded investigator was not complemented by an independent observer; and the clinical meaning of short-term index change is a question this thesis deliberately leaves to clinical colleagues.</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first-failure experience was strongly associated with faster observed dropout;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reject the null hypothesis H0 of §2.3.5: a gamified FRA that satisfied the acceptance and gamification design criteria did not sustain acceptance and use, and failure events were followed by abandonment that score improvement did not reverse.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Chapter 6 Stage 3 — Participant-Facing Decoupling: Between-Cohort Evidence for a Frame-Sensitive Account</w:t>
      </w:r>
    </w:p>
    <w:p>
      <w:pPr>
        <w:pStyle w:val="Heading2"/>
      </w:pPr>
      <w:bookmarkStart w:id="93" w:name="_Toc232024585"/>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rejection of H0 in Stage 2 was ambiguous between two rival explanations, and Stage 3 exists to tell them apart. The first explanation is dispositional: gamification simply does not work for frail older adults — the acceptance and gamification literatures do not transfer to this population, and the An–Cheung demonstrations do not generalise. The second is the coupling explanation: the gamification stack works exactly as the literature says, and what broke Stage 2 was the attachment of the game to a purpose-based clinical technology whose verdicts strike the identity-level concerns of older users. These explanations make opposite predictions for the same game with the clinical attachment removed. If the dispositional account is right, a decoupled game should fail with elderly users too. If the coupling account is right, a decoupled game should be accepted at roughly the levels the gamification literature predicts. Stage 3 is therefore the programme's attribution experiment — in effect, a positive control for gamification theory itself. Two secondary questions carried over from Stage 2: whether the scarcity of learning-oriented engagement suggested by Stage-2 observation (the formal classification has since been withdrawn, §5.5) was a stable cohort characteristic or a response to the clinical-game context, and whether post-failure return would appear once participant-facing clinical cues were removed. Stage 3 addressed these questions through a separate-cohort field comparison using a coordinated decoupling package. Because cohort, setting and recruitment also changed, the study provides quasi-experimental directional evidence rather than single-variable causal isolation.</w:t>
      </w:r>
    </w:p>
    <w:p>
      <w:pPr>
        <w:pStyle w:val="Heading2"/>
      </w:pPr>
      <w:bookmarkStart w:id="94" w:name="_Toc232024586"/>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The two rival accounts frame the predictions. Under the dispositional account, removing clinical cues changes little: elderly non-return stays high and post-failure return stays near zero. Under the coupling account, the decoupled game behaves like the elderly gamification successes in the literature. Within that frame, Stage 3 made three specific predictions. First, observed non-return under the decoupled condition would be lower than the Stage-2 rate. Second, some initial dropouts would return after failure. Third, most participants would recognise the activity as a coordination challenge and a substantial proportion would express regular-use intention. The coordination-endorsement item is treated as a manipulation check for the intended participant-facing frame; it measures frame recognition, not motivational orientation. The multi-age cohort adds a fourth, formally testable prediction: if the identity-level account is right, the engagement burden should differ by age even under decoupling — the second null hypothesis, H0-age (no difference between age groups), should fall. It does (§6.5).</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recruitment and session language described a coordination challenge,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w:t>
      </w:r>
    </w:p>
    <w:p>
      <w:pPr>
        <w:pStyle w:val="Heading2"/>
      </w:pPr>
      <w:bookmarkStart w:id="95" w:name="_Toc232024588"/>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work contacts, a charity community network, university support channels and working peers in medical centres — in three age bands: 38 aged 25-44, 41 aged 45-64 and 41 aged 65-80. Recruitment materials referred to a coordination challenge and did not use medical or fall-prevention language. Each participant received the HTML build by e-mail and played on their own computer, with a trackpad or arrow keys, or a foot-pad sensor where one was available; play was unsupervised. Of the 120 participants, 48 were male and 72 female, and all reported high-school education or above.</w:t>
      </w:r>
    </w:p>
    <w:p>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reduces, though it does not eliminate, the risk that participation reflected personal obligation to the researcher.</w:t>
      </w:r>
    </w:p>
    <w:p>
      <w:pPr>
        <w:pStyle w:val="Normal"/>
      </w:pPr>
      <w:r>
        <w:rPr>
          <w:szCs w:val="22"/>
          <w:lang w:val="en-US" w:eastAsia="en-US" w:bidi="ar-SA"/>
          <w:rFonts w:ascii="Times New Roman" w:hAnsi="Times New Roman" w:eastAsia="Times New Roman" w:cs="Times New Roman"/>
          <w:sz w:val="24"/>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Initial dropout denotes a participant whose returned logs show disengagement after the first play contact — an incomplete first session, or no second session within the study window. A return denotes a subsequently logged completed session after an initial dropout. Observed non-return denotes an initial dropout with no returned session inside the study window, and retention is its complement over the cohort. The chapter reports the aggregate record compiled from the returned files. The data logbook (Appendix G, item G.3) holds the participant-level compilation from the returned e-mails; its reconciliation sheet recomputes every indicator from the participant-level entries, so the compilation can be verified against the record.</w:t>
      </w:r>
    </w:p>
    <w:p>
      <w:pPr>
        <w:pStyle w:val="Heading2"/>
      </w:pPr>
      <w:bookmarkStart w:id="96" w:name="_Toc23202458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6.5 Findings: A Substantial Behavioural Shift</w:t>
      </w:r>
      <w:bookmarkEnd w:id="96"/>
    </w:p>
    <w:p>
      <w:pPr>
        <w:pStyle w:val="FigureCaption"/>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0" w:type="auto"/>
        <w:jc w:val="center"/>
        <w:tblLook w:val="04A0" w:firstRow="1" w:lastRow="0" w:firstColumn="1" w:lastColumn="0" w:noHBand="0" w:noVBand="1"/>
      </w:tblPr>
      <w:tblGrid>
        <w:gridCol w:w="2832"/>
        <w:gridCol w:w="2831"/>
        <w:gridCol w:w="2832"/>
      </w:tblGrid>
      <w:tr>
        <w:trPr>
          <w:jc w:val="center"/>
        </w:trPr>
        <w:tc>
          <w:tcPr>
            <w:tcW w:w="2832" w:type="dxa"/>
          </w:tcPr>
          <w:p>
            <w:pPr>
              <w:pStyle w:val="Normal"/>
            </w:pPr>
            <w:r>
              <w:rPr>
                <w:b/>
                <w:sz w:val="28"/>
                <w:szCs w:val="26"/>
                <w:lang w:val="en-US" w:eastAsia="en-US" w:bidi="ar-SA"/>
                <w:rFonts w:ascii="Times New Roman" w:hAnsi="Times New Roman" w:eastAsia="Times New Roman" w:cs="Times New Roman"/>
              </w:rPr>
              <w:t>Engagement metric</w:t>
            </w:r>
          </w:p>
        </w:tc>
        <w:tc>
          <w:tcPr>
            <w:tcW w:w="2831" w:type="dxa"/>
          </w:tcPr>
          <w:p>
            <w:pPr>
              <w:pStyle w:val="Normal"/>
            </w:pPr>
            <w:r>
              <w:rPr>
                <w:b/>
                <w:sz w:val="28"/>
                <w:szCs w:val="26"/>
                <w:lang w:val="en-US" w:eastAsia="en-US" w:bidi="ar-SA"/>
                <w:rFonts w:ascii="Times New Roman" w:hAnsi="Times New Roman" w:eastAsia="Times New Roman" w:cs="Times New Roman"/>
              </w:rPr>
              <w:t>Count</w:t>
            </w:r>
          </w:p>
        </w:tc>
        <w:tc>
          <w:tcPr>
            <w:tcW w:w="2832" w:type="dxa"/>
          </w:tcPr>
          <w:p>
            <w:pPr>
              <w:pStyle w:val="Normal"/>
            </w:pPr>
            <w:r>
              <w:rPr>
                <w:b/>
                <w:sz w:val="28"/>
                <w:szCs w:val="26"/>
                <w:lang w:val="en-US" w:eastAsia="en-US" w:bidi="ar-SA"/>
                <w:rFonts w:ascii="Times New Roman" w:hAnsi="Times New Roman" w:eastAsia="Times New Roman" w:cs="Times New Roman"/>
              </w:rPr>
              <w:t>Percentage</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Initial dropout</w:t>
            </w:r>
          </w:p>
        </w:tc>
        <w:tc>
          <w:tcPr>
            <w:tcW w:w="2831" w:type="dxa"/>
          </w:tcPr>
          <w:p>
            <w:pPr>
              <w:pStyle w:val="Normal"/>
            </w:pPr>
            <w:r>
              <w:rPr>
                <w:sz w:val="20"/>
                <w:szCs w:val="22"/>
                <w:lang w:val="en-US" w:eastAsia="en-US" w:bidi="ar-SA"/>
                <w:rFonts w:ascii="Times New Roman" w:hAnsi="Times New Roman" w:eastAsia="Times New Roman" w:cs="Times New Roman"/>
              </w:rPr>
              <w:t>23/120</w:t>
            </w:r>
          </w:p>
        </w:tc>
        <w:tc>
          <w:tcPr>
            <w:tcW w:w="2832" w:type="dxa"/>
          </w:tcPr>
          <w:p>
            <w:pPr>
              <w:pStyle w:val="Normal"/>
            </w:pPr>
            <w:r>
              <w:rPr>
                <w:sz w:val="20"/>
                <w:szCs w:val="22"/>
                <w:lang w:val="en-US" w:eastAsia="en-US" w:bidi="ar-SA"/>
                <w:rFonts w:ascii="Times New Roman" w:hAnsi="Times New Roman" w:eastAsia="Times New Roman" w:cs="Times New Roman"/>
              </w:rPr>
              <w:t>19.2</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Returned after dropout</w:t>
            </w:r>
          </w:p>
        </w:tc>
        <w:tc>
          <w:tcPr>
            <w:tcW w:w="2831" w:type="dxa"/>
          </w:tcPr>
          <w:p>
            <w:pPr>
              <w:pStyle w:val="Normal"/>
            </w:pPr>
            <w:r>
              <w:rPr>
                <w:sz w:val="20"/>
                <w:szCs w:val="22"/>
                <w:lang w:val="en-US" w:eastAsia="en-US" w:bidi="ar-SA"/>
                <w:rFonts w:ascii="Times New Roman" w:hAnsi="Times New Roman" w:eastAsia="Times New Roman" w:cs="Times New Roman"/>
              </w:rPr>
              <w:t>15/23</w:t>
            </w:r>
          </w:p>
        </w:tc>
        <w:tc>
          <w:tcPr>
            <w:tcW w:w="2832" w:type="dxa"/>
          </w:tcPr>
          <w:p>
            <w:pPr>
              <w:pStyle w:val="Normal"/>
            </w:pPr>
            <w:r>
              <w:rPr>
                <w:sz w:val="20"/>
                <w:szCs w:val="22"/>
                <w:lang w:val="en-US" w:eastAsia="en-US" w:bidi="ar-SA"/>
                <w:rFonts w:ascii="Times New Roman" w:hAnsi="Times New Roman" w:eastAsia="Times New Roman" w:cs="Times New Roman"/>
              </w:rPr>
              <w:t>65.2</w:t>
            </w:r>
          </w:p>
        </w:tc>
      </w:tr>
      <w:tr>
        <w:trPr>
          <w:jc w:val="center"/>
        </w:trPr>
        <w:tc>
          <w:tcPr>
            <w:tcW w:w="2832"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2831" w:type="dxa"/>
          </w:tcPr>
          <w:p>
            <w:pPr>
              <w:pStyle w:val="Normal"/>
            </w:pPr>
            <w:r>
              <w:rPr>
                <w:sz w:val="20"/>
                <w:szCs w:val="22"/>
                <w:lang w:val="en-US" w:eastAsia="en-US" w:bidi="ar-SA"/>
                <w:rFonts w:ascii="Times New Roman" w:hAnsi="Times New Roman" w:eastAsia="Times New Roman" w:cs="Times New Roman"/>
              </w:rPr>
              <w:t>8/120</w:t>
            </w:r>
          </w:p>
        </w:tc>
        <w:tc>
          <w:tcPr>
            <w:tcW w:w="2832" w:type="dxa"/>
          </w:tcPr>
          <w:p>
            <w:pPr>
              <w:pStyle w:val="Normal"/>
            </w:pPr>
            <w:r>
              <w:rPr>
                <w:sz w:val="20"/>
                <w:szCs w:val="22"/>
                <w:lang w:val="en-US" w:eastAsia="en-US" w:bidi="ar-SA"/>
                <w:rFonts w:ascii="Times New Roman" w:hAnsi="Times New Roman" w:eastAsia="Times New Roman" w:cs="Times New Roman"/>
              </w:rPr>
              <w:t>6.7</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Overall retention</w:t>
            </w:r>
          </w:p>
        </w:tc>
        <w:tc>
          <w:tcPr>
            <w:tcW w:w="2831" w:type="dxa"/>
          </w:tcPr>
          <w:p>
            <w:pPr>
              <w:pStyle w:val="Normal"/>
            </w:pPr>
            <w:r>
              <w:rPr>
                <w:sz w:val="20"/>
                <w:szCs w:val="22"/>
                <w:lang w:val="en-US" w:eastAsia="en-US" w:bidi="ar-SA"/>
                <w:rFonts w:ascii="Times New Roman" w:hAnsi="Times New Roman" w:eastAsia="Times New Roman" w:cs="Times New Roman"/>
              </w:rPr>
              <w:t>112/120</w:t>
            </w:r>
          </w:p>
        </w:tc>
        <w:tc>
          <w:tcPr>
            <w:tcW w:w="2832" w:type="dxa"/>
          </w:tcPr>
          <w:p>
            <w:pPr>
              <w:pStyle w:val="Normal"/>
            </w:pPr>
            <w:r>
              <w:rPr>
                <w:sz w:val="20"/>
                <w:szCs w:val="22"/>
                <w:lang w:val="en-US" w:eastAsia="en-US" w:bidi="ar-SA"/>
                <w:rFonts w:ascii="Times New Roman" w:hAnsi="Times New Roman" w:eastAsia="Times New Roman" w:cs="Times New Roman"/>
              </w:rPr>
              <w:t>93.3</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Return rate among initial dropouts</w:t>
            </w:r>
          </w:p>
        </w:tc>
        <w:tc>
          <w:tcPr>
            <w:tcW w:w="2831" w:type="dxa"/>
          </w:tcPr>
          <w:p>
            <w:pPr>
              <w:pStyle w:val="Normal"/>
            </w:pPr>
            <w:r>
              <w:rPr>
                <w:sz w:val="20"/>
                <w:szCs w:val="22"/>
                <w:lang w:val="en-US" w:eastAsia="en-US" w:bidi="ar-SA"/>
                <w:rFonts w:ascii="Times New Roman" w:hAnsi="Times New Roman" w:eastAsia="Times New Roman" w:cs="Times New Roman"/>
              </w:rPr>
              <w:t>—</w:t>
            </w:r>
          </w:p>
        </w:tc>
        <w:tc>
          <w:tcPr>
            <w:tcW w:w="2832" w:type="dxa"/>
          </w:tcPr>
          <w:p>
            <w:pPr>
              <w:pStyle w:val="Normal"/>
            </w:pPr>
            <w:r>
              <w:rPr>
                <w:sz w:val="20"/>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Read against the two rival accounts of §6.1, the pattern is one-sided. The decoupled game was accepted by the elderly cohort at levels consistent with what the gamification literature predicts for non-clinical technologies: 85.4% in-session retention in the 65–80 band, voluntary return after dropout in ten of sixteen cases, and majority regular-use intention. The dispositional account — that gamification does not transfer to this population — predicted none of this. The result is therefore consistent with the theory stack of Chapter 2 holding for elderly users, including the An–Cheung demonstration, and with the Stage-2 failure residing in the coupling rather than in the game or the participants. The Stage-2 and Stage-3 results show markedly different observed return patterns, but they should not be described as proof of two discrete behavioural regimes. In Stage 3, post-failure return was common, including in the oldest age band; in Stage 2, no return was observed among the low-engagement group during the eight-week window. The contrast is large and theoretically important. Its causal interpretation remains bounded by separate cohorts, contexts, recruitment channels and potentially different observation structures. The age-stratified comparison sharpens the finding further. All 120 participants, across all three age bands, accepted the decoupled game — the acceptance is general, not an elderly concession. Yet initial dropout climbed steeply with age (0.0%, 17.1%, 39.0%; chi-square across bands p &lt; 0.001), nullifying H0-age and showing that the burden the coupling imposes is age-linked, precisely as an identity-level account predicts; and under decoupling that burden no longer converts into abandonment, because most older dropouts came back. In one design, Stage 3 provides evidence consistent with both readings: that the game itself was not the source of the failure, and that the problem, where it exists, lives at the identity level of the older user.</w:t>
      </w:r>
    </w:p>
    <w:p>
      <w:pPr>
        <w:pStyle w:val="FigureCaption"/>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0" w:type="auto"/>
        <w:jc w:val="center"/>
        <w:tblLook w:val="04A0" w:firstRow="1" w:lastRow="0" w:firstColumn="1" w:lastColumn="0" w:noHBand="0" w:noVBand="1"/>
      </w:tblPr>
      <w:tblGrid>
        <w:gridCol w:w="1416"/>
        <w:gridCol w:w="1415"/>
        <w:gridCol w:w="1416"/>
        <w:gridCol w:w="1416"/>
        <w:gridCol w:w="1416"/>
        <w:gridCol w:w="1416"/>
      </w:tblGrid>
      <w:tr>
        <w:trPr>
          <w:jc w:val="center"/>
        </w:trPr>
        <w:tc>
          <w:tcPr>
            <w:tcW w:w="1416" w:type="dxa"/>
          </w:tcPr>
          <w:p>
            <w:pPr>
              <w:pStyle w:val="Normal"/>
            </w:pPr>
            <w:r>
              <w:rPr>
                <w:szCs w:val="26"/>
                <w:lang w:val="en-US" w:eastAsia="en-US" w:bidi="ar-SA"/>
                <w:rFonts w:ascii="Times New Roman" w:hAnsi="Times New Roman" w:eastAsia="Times New Roman" w:cs="Times New Roman"/>
                <w:sz w:val="28"/>
                <w:b/>
              </w:rPr>
              <w:t>Age band</w:t>
            </w:r>
          </w:p>
        </w:tc>
        <w:tc>
          <w:tcPr>
            <w:tcW w:w="1415" w:type="dxa"/>
          </w:tcPr>
          <w:p>
            <w:pPr>
              <w:pStyle w:val="Normal"/>
            </w:pPr>
            <w:r>
              <w:rPr>
                <w:b/>
                <w:sz w:val="28"/>
                <w:szCs w:val="26"/>
                <w:lang w:val="en-US" w:eastAsia="en-US" w:bidi="ar-SA"/>
                <w:rFonts w:ascii="Times New Roman" w:hAnsi="Times New Roman" w:eastAsia="Times New Roman" w:cs="Times New Roman"/>
              </w:rPr>
              <w:t>n</w:t>
            </w:r>
          </w:p>
        </w:tc>
        <w:tc>
          <w:tcPr>
            <w:tcW w:w="1416" w:type="dxa"/>
          </w:tcPr>
          <w:p>
            <w:pPr>
              <w:pStyle w:val="Normal"/>
            </w:pPr>
            <w:r>
              <w:rPr>
                <w:b/>
                <w:sz w:val="28"/>
                <w:szCs w:val="26"/>
                <w:lang w:val="en-US" w:eastAsia="en-US" w:bidi="ar-SA"/>
                <w:rFonts w:ascii="Times New Roman" w:hAnsi="Times New Roman" w:eastAsia="Times New Roman" w:cs="Times New Roman"/>
              </w:rPr>
              <w:t>Initial dropout</w:t>
            </w:r>
          </w:p>
        </w:tc>
        <w:tc>
          <w:tcPr>
            <w:tcW w:w="1416" w:type="dxa"/>
          </w:tcPr>
          <w:p>
            <w:pPr>
              <w:pStyle w:val="Normal"/>
            </w:pPr>
            <w:r>
              <w:rPr>
                <w:b/>
                <w:sz w:val="28"/>
                <w:szCs w:val="26"/>
                <w:lang w:val="en-US" w:eastAsia="en-US" w:bidi="ar-SA"/>
                <w:rFonts w:ascii="Times New Roman" w:hAnsi="Times New Roman" w:eastAsia="Times New Roman" w:cs="Times New Roman"/>
              </w:rPr>
              <w:t>Returned</w:t>
            </w:r>
          </w:p>
        </w:tc>
        <w:tc>
          <w:tcPr>
            <w:tcW w:w="1416" w:type="dxa"/>
          </w:tcPr>
          <w:p>
            <w:pPr>
              <w:pStyle w:val="Normal"/>
            </w:pPr>
            <w:r>
              <w:rPr>
                <w:szCs w:val="22"/>
                <w:lang w:val="en-US" w:eastAsia="en-US" w:bidi="ar-SA"/>
                <w:rFonts w:ascii="Times New Roman" w:hAnsi="Times New Roman" w:eastAsia="Times New Roman" w:cs="Times New Roman"/>
                <w:sz w:val="24"/>
              </w:rPr>
              <w:t>Observed non-return</w:t>
            </w:r>
          </w:p>
        </w:tc>
        <w:tc>
          <w:tcPr>
            <w:tcW w:w="1416" w:type="dxa"/>
          </w:tcPr>
          <w:p>
            <w:pPr>
              <w:pStyle w:val="Normal"/>
            </w:pPr>
            <w:r>
              <w:rPr>
                <w:b/>
                <w:sz w:val="28"/>
                <w:szCs w:val="26"/>
                <w:lang w:val="en-US" w:eastAsia="en-US" w:bidi="ar-SA"/>
                <w:rFonts w:ascii="Times New Roman" w:hAnsi="Times New Roman" w:eastAsia="Times New Roman" w:cs="Times New Roman"/>
              </w:rPr>
              <w:t>Retention</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25–44</w:t>
            </w:r>
          </w:p>
        </w:tc>
        <w:tc>
          <w:tcPr>
            <w:tcW w:w="1415" w:type="dxa"/>
          </w:tcPr>
          <w:p>
            <w:pPr>
              <w:pStyle w:val="Normal"/>
            </w:pPr>
            <w:r>
              <w:rPr>
                <w:szCs w:val="22"/>
                <w:lang w:val="en-US" w:eastAsia="en-US" w:bidi="ar-SA"/>
                <w:rFonts w:ascii="Times New Roman" w:hAnsi="Times New Roman" w:eastAsia="Times New Roman" w:cs="Times New Roman"/>
                <w:sz w:val="24"/>
              </w:rPr>
              <w:t>38</w:t>
            </w:r>
          </w:p>
        </w:tc>
        <w:tc>
          <w:tcPr>
            <w:tcW w:w="1416" w:type="dxa"/>
          </w:tcPr>
          <w:p>
            <w:pPr>
              <w:pStyle w:val="Normal"/>
            </w:pPr>
            <w:r>
              <w:rPr>
                <w:sz w:val="20"/>
                <w:szCs w:val="22"/>
                <w:lang w:val="en-US" w:eastAsia="en-US" w:bidi="ar-SA"/>
                <w:rFonts w:ascii="Times New Roman" w:hAnsi="Times New Roman" w:eastAsia="Times New Roman" w:cs="Times New Roman"/>
              </w:rPr>
              <w:t>0 (0.0%)</w:t>
            </w:r>
          </w:p>
        </w:tc>
        <w:tc>
          <w:tcPr>
            <w:tcW w:w="1416" w:type="dxa"/>
          </w:tcPr>
          <w:p>
            <w:pPr>
              <w:pStyle w:val="Normal"/>
            </w:pPr>
            <w:r>
              <w:rPr>
                <w:sz w:val="20"/>
                <w:szCs w:val="22"/>
                <w:lang w:val="en-US" w:eastAsia="en-US" w:bidi="ar-SA"/>
                <w:rFonts w:ascii="Times New Roman" w:hAnsi="Times New Roman" w:eastAsia="Times New Roman" w:cs="Times New Roman"/>
              </w:rPr>
              <w:t>0</w:t>
            </w:r>
          </w:p>
        </w:tc>
        <w:tc>
          <w:tcPr>
            <w:tcW w:w="1416" w:type="dxa"/>
          </w:tcPr>
          <w:p>
            <w:pPr>
              <w:pStyle w:val="Normal"/>
            </w:pPr>
            <w:r>
              <w:rPr>
                <w:sz w:val="20"/>
                <w:szCs w:val="22"/>
                <w:lang w:val="en-US" w:eastAsia="en-US" w:bidi="ar-SA"/>
                <w:rFonts w:ascii="Times New Roman" w:hAnsi="Times New Roman" w:eastAsia="Times New Roman" w:cs="Times New Roman"/>
              </w:rPr>
              <w:t>0 (0.0%)</w:t>
            </w:r>
          </w:p>
        </w:tc>
        <w:tc>
          <w:tcPr>
            <w:tcW w:w="1416" w:type="dxa"/>
          </w:tcPr>
          <w:p>
            <w:pPr>
              <w:pStyle w:val="Normal"/>
            </w:pPr>
            <w:r>
              <w:rPr>
                <w:sz w:val="20"/>
                <w:szCs w:val="22"/>
                <w:lang w:val="en-US" w:eastAsia="en-US" w:bidi="ar-SA"/>
                <w:rFonts w:ascii="Times New Roman" w:hAnsi="Times New Roman" w:eastAsia="Times New Roman" w:cs="Times New Roman"/>
              </w:rPr>
              <w:t>100.0%</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45–64</w:t>
            </w:r>
          </w:p>
        </w:tc>
        <w:tc>
          <w:tcPr>
            <w:tcW w:w="1415" w:type="dxa"/>
          </w:tcPr>
          <w:p>
            <w:pPr>
              <w:pStyle w:val="Normal"/>
            </w:pPr>
            <w:r>
              <w:rPr>
                <w:szCs w:val="22"/>
                <w:lang w:val="en-US" w:eastAsia="en-US" w:bidi="ar-SA"/>
                <w:rFonts w:ascii="Times New Roman" w:hAnsi="Times New Roman" w:eastAsia="Times New Roman" w:cs="Times New Roman"/>
                <w:sz w:val="24"/>
              </w:rPr>
              <w:t>41</w:t>
            </w:r>
          </w:p>
        </w:tc>
        <w:tc>
          <w:tcPr>
            <w:tcW w:w="1416" w:type="dxa"/>
          </w:tcPr>
          <w:p>
            <w:pPr>
              <w:pStyle w:val="Normal"/>
            </w:pPr>
            <w:r>
              <w:rPr>
                <w:szCs w:val="22"/>
                <w:lang w:val="en-US" w:eastAsia="en-US" w:bidi="ar-SA"/>
                <w:rFonts w:ascii="Times New Roman" w:hAnsi="Times New Roman" w:eastAsia="Times New Roman" w:cs="Times New Roman"/>
                <w:sz w:val="24"/>
              </w:rPr>
              <w:t>7 (17.1%)</w:t>
            </w:r>
          </w:p>
        </w:tc>
        <w:tc>
          <w:tcPr>
            <w:tcW w:w="1416" w:type="dxa"/>
          </w:tcPr>
          <w:p>
            <w:pPr>
              <w:pStyle w:val="Normal"/>
            </w:pPr>
            <w:r>
              <w:rPr>
                <w:sz w:val="20"/>
                <w:szCs w:val="22"/>
                <w:lang w:val="en-US" w:eastAsia="en-US" w:bidi="ar-SA"/>
                <w:rFonts w:ascii="Times New Roman" w:hAnsi="Times New Roman" w:eastAsia="Times New Roman" w:cs="Times New Roman"/>
              </w:rPr>
              <w:t>5</w:t>
            </w:r>
          </w:p>
        </w:tc>
        <w:tc>
          <w:tcPr>
            <w:tcW w:w="1416" w:type="dxa"/>
          </w:tcPr>
          <w:p>
            <w:pPr>
              <w:pStyle w:val="Normal"/>
            </w:pPr>
            <w:r>
              <w:rPr>
                <w:szCs w:val="22"/>
                <w:lang w:val="en-US" w:eastAsia="en-US" w:bidi="ar-SA"/>
                <w:rFonts w:ascii="Times New Roman" w:hAnsi="Times New Roman" w:eastAsia="Times New Roman" w:cs="Times New Roman"/>
                <w:sz w:val="24"/>
              </w:rPr>
              <w:t>2 (4.9%)</w:t>
            </w:r>
          </w:p>
        </w:tc>
        <w:tc>
          <w:tcPr>
            <w:tcW w:w="1416" w:type="dxa"/>
          </w:tcPr>
          <w:p>
            <w:pPr>
              <w:pStyle w:val="Normal"/>
            </w:pPr>
            <w:r>
              <w:rPr>
                <w:szCs w:val="22"/>
                <w:lang w:val="en-US" w:eastAsia="en-US" w:bidi="ar-SA"/>
                <w:rFonts w:ascii="Times New Roman" w:hAnsi="Times New Roman" w:eastAsia="Times New Roman" w:cs="Times New Roman"/>
                <w:sz w:val="24"/>
              </w:rPr>
              <w:t>95.1%</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65–80</w:t>
            </w:r>
          </w:p>
        </w:tc>
        <w:tc>
          <w:tcPr>
            <w:tcW w:w="1415" w:type="dxa"/>
          </w:tcPr>
          <w:p>
            <w:pPr>
              <w:pStyle w:val="Normal"/>
            </w:pPr>
            <w:r>
              <w:rPr>
                <w:szCs w:val="22"/>
                <w:lang w:val="en-US" w:eastAsia="en-US" w:bidi="ar-SA"/>
                <w:rFonts w:ascii="Times New Roman" w:hAnsi="Times New Roman" w:eastAsia="Times New Roman" w:cs="Times New Roman"/>
                <w:sz w:val="24"/>
              </w:rPr>
              <w:t>41</w:t>
            </w:r>
          </w:p>
        </w:tc>
        <w:tc>
          <w:tcPr>
            <w:tcW w:w="1416" w:type="dxa"/>
          </w:tcPr>
          <w:p>
            <w:pPr>
              <w:pStyle w:val="Normal"/>
            </w:pPr>
            <w:r>
              <w:rPr>
                <w:szCs w:val="22"/>
                <w:lang w:val="en-US" w:eastAsia="en-US" w:bidi="ar-SA"/>
                <w:rFonts w:ascii="Times New Roman" w:hAnsi="Times New Roman" w:eastAsia="Times New Roman" w:cs="Times New Roman"/>
                <w:sz w:val="24"/>
              </w:rPr>
              <w:t>16 (39.0%)</w:t>
            </w:r>
          </w:p>
        </w:tc>
        <w:tc>
          <w:tcPr>
            <w:tcW w:w="1416" w:type="dxa"/>
          </w:tcPr>
          <w:p>
            <w:pPr>
              <w:pStyle w:val="Normal"/>
            </w:pPr>
            <w:r>
              <w:rPr>
                <w:sz w:val="20"/>
                <w:szCs w:val="22"/>
                <w:lang w:val="en-US" w:eastAsia="en-US" w:bidi="ar-SA"/>
                <w:rFonts w:ascii="Times New Roman" w:hAnsi="Times New Roman" w:eastAsia="Times New Roman" w:cs="Times New Roman"/>
              </w:rPr>
              <w:t>10</w:t>
            </w:r>
          </w:p>
        </w:tc>
        <w:tc>
          <w:tcPr>
            <w:tcW w:w="1416" w:type="dxa"/>
          </w:tcPr>
          <w:p>
            <w:pPr>
              <w:pStyle w:val="Normal"/>
            </w:pPr>
            <w:r>
              <w:rPr>
                <w:szCs w:val="22"/>
                <w:lang w:val="en-US" w:eastAsia="en-US" w:bidi="ar-SA"/>
                <w:rFonts w:ascii="Times New Roman" w:hAnsi="Times New Roman" w:eastAsia="Times New Roman" w:cs="Times New Roman"/>
                <w:sz w:val="24"/>
              </w:rPr>
              <w:t>6 (14.6%)</w:t>
            </w:r>
          </w:p>
        </w:tc>
        <w:tc>
          <w:tcPr>
            <w:tcW w:w="1416" w:type="dxa"/>
          </w:tcPr>
          <w:p>
            <w:pPr>
              <w:pStyle w:val="Normal"/>
            </w:pPr>
            <w:r>
              <w:rPr>
                <w:szCs w:val="22"/>
                <w:lang w:val="en-US" w:eastAsia="en-US" w:bidi="ar-SA"/>
                <w:rFonts w:ascii="Times New Roman" w:hAnsi="Times New Roman" w:eastAsia="Times New Roman" w:cs="Times New Roman"/>
                <w:sz w:val="24"/>
              </w:rPr>
              <w:t>85.4%</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Total</w:t>
            </w:r>
          </w:p>
        </w:tc>
        <w:tc>
          <w:tcPr>
            <w:tcW w:w="1415" w:type="dxa"/>
          </w:tcPr>
          <w:p>
            <w:pPr>
              <w:pStyle w:val="Normal"/>
            </w:pPr>
            <w:r>
              <w:rPr>
                <w:sz w:val="20"/>
                <w:szCs w:val="22"/>
                <w:lang w:val="en-US" w:eastAsia="en-US" w:bidi="ar-SA"/>
                <w:rFonts w:ascii="Times New Roman" w:hAnsi="Times New Roman" w:eastAsia="Times New Roman" w:cs="Times New Roman"/>
              </w:rPr>
              <w:t>120</w:t>
            </w:r>
          </w:p>
        </w:tc>
        <w:tc>
          <w:tcPr>
            <w:tcW w:w="1416" w:type="dxa"/>
          </w:tcPr>
          <w:p>
            <w:pPr>
              <w:pStyle w:val="Normal"/>
            </w:pPr>
            <w:r>
              <w:rPr>
                <w:sz w:val="20"/>
                <w:szCs w:val="22"/>
                <w:lang w:val="en-US" w:eastAsia="en-US" w:bidi="ar-SA"/>
                <w:rFonts w:ascii="Times New Roman" w:hAnsi="Times New Roman" w:eastAsia="Times New Roman" w:cs="Times New Roman"/>
              </w:rPr>
              <w:t>23 (19.2%)</w:t>
            </w:r>
          </w:p>
        </w:tc>
        <w:tc>
          <w:tcPr>
            <w:tcW w:w="1416" w:type="dxa"/>
          </w:tcPr>
          <w:p>
            <w:pPr>
              <w:pStyle w:val="Normal"/>
            </w:pPr>
            <w:r>
              <w:rPr>
                <w:sz w:val="20"/>
                <w:szCs w:val="22"/>
                <w:lang w:val="en-US" w:eastAsia="en-US" w:bidi="ar-SA"/>
                <w:rFonts w:ascii="Times New Roman" w:hAnsi="Times New Roman" w:eastAsia="Times New Roman" w:cs="Times New Roman"/>
              </w:rPr>
              <w:t>15</w:t>
            </w:r>
          </w:p>
        </w:tc>
        <w:tc>
          <w:tcPr>
            <w:tcW w:w="1416" w:type="dxa"/>
          </w:tcPr>
          <w:p>
            <w:pPr>
              <w:pStyle w:val="Normal"/>
            </w:pPr>
            <w:r>
              <w:rPr>
                <w:sz w:val="20"/>
                <w:szCs w:val="22"/>
                <w:lang w:val="en-US" w:eastAsia="en-US" w:bidi="ar-SA"/>
                <w:rFonts w:ascii="Times New Roman" w:hAnsi="Times New Roman" w:eastAsia="Times New Roman" w:cs="Times New Roman"/>
              </w:rPr>
              <w:t>8 (6.7%)</w:t>
            </w:r>
          </w:p>
        </w:tc>
        <w:tc>
          <w:tcPr>
            <w:tcW w:w="1416" w:type="dxa"/>
          </w:tcPr>
          <w:p>
            <w:pPr>
              <w:pStyle w:val="Normal"/>
            </w:pPr>
            <w:r>
              <w:rPr>
                <w:sz w:val="20"/>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primary cross-stage comparison because it is the closest age match to the Stage-2 residential cohort. In this band, 10 of 16 initial dropouts returned (62.5%; 95% CI 38.6-81.5%, Wilson interval). In Stage 2, 0 of 21 low-engagement participants returned within the eight-week observation window (95% CI 0.0-15.5%). The non-overlapping intervals describe a strong difference in observed proportions, but they are not a substitute for a randomised hypothesis test because the samples are independent and contextually different. The pooled Stage-3 65.2% figure is a descriptive summary; the age-matched comparison is the more relevant evidential anchor.</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0" w:type="auto"/>
        <w:jc w:val="center"/>
        <w:tblLook w:val="04A0" w:firstRow="1" w:lastRow="0" w:firstColumn="1" w:lastColumn="0" w:noHBand="0" w:noVBand="1"/>
      </w:tblPr>
      <w:tblGrid>
        <w:gridCol w:w="1701"/>
        <w:gridCol w:w="1699"/>
        <w:gridCol w:w="1699"/>
        <w:gridCol w:w="1698"/>
        <w:gridCol w:w="1698"/>
      </w:tblGrid>
      <w:tr>
        <w:trPr>
          <w:jc w:val="center"/>
        </w:trPr>
        <w:tc>
          <w:tcPr>
            <w:tcW w:w="1701" w:type="dxa"/>
          </w:tcPr>
          <w:p>
            <w:pPr>
              <w:pStyle w:val="Normal"/>
            </w:pPr>
            <w:r>
              <w:rPr>
                <w:b/>
                <w:sz w:val="28"/>
                <w:szCs w:val="26"/>
                <w:lang w:val="en-US" w:eastAsia="en-US" w:bidi="ar-SA"/>
                <w:rFonts w:ascii="Times New Roman" w:hAnsi="Times New Roman" w:eastAsia="Times New Roman" w:cs="Times New Roman"/>
              </w:rPr>
              <w:t>Item</w:t>
            </w:r>
          </w:p>
        </w:tc>
        <w:tc>
          <w:tcPr>
            <w:tcW w:w="1699" w:type="dxa"/>
          </w:tcPr>
          <w:p>
            <w:pPr>
              <w:pStyle w:val="Normal"/>
            </w:pPr>
            <w:r>
              <w:rPr>
                <w:b/>
                <w:sz w:val="28"/>
                <w:szCs w:val="26"/>
                <w:lang w:val="en-US" w:eastAsia="en-US" w:bidi="ar-SA"/>
                <w:rFonts w:ascii="Times New Roman" w:hAnsi="Times New Roman" w:eastAsia="Times New Roman" w:cs="Times New Roman"/>
              </w:rPr>
              <w:t>Younger 25–44</w:t>
            </w:r>
          </w:p>
        </w:tc>
        <w:tc>
          <w:tcPr>
            <w:tcW w:w="1699" w:type="dxa"/>
          </w:tcPr>
          <w:p>
            <w:pPr>
              <w:pStyle w:val="Normal"/>
            </w:pPr>
            <w:r>
              <w:rPr>
                <w:b/>
                <w:sz w:val="28"/>
                <w:szCs w:val="26"/>
                <w:lang w:val="en-US" w:eastAsia="en-US" w:bidi="ar-SA"/>
                <w:rFonts w:ascii="Times New Roman" w:hAnsi="Times New Roman" w:eastAsia="Times New Roman" w:cs="Times New Roman"/>
              </w:rPr>
              <w:t>Middle 45–64</w:t>
            </w:r>
          </w:p>
        </w:tc>
        <w:tc>
          <w:tcPr>
            <w:tcW w:w="1698" w:type="dxa"/>
          </w:tcPr>
          <w:p>
            <w:pPr>
              <w:pStyle w:val="Normal"/>
            </w:pPr>
            <w:r>
              <w:rPr>
                <w:b/>
                <w:sz w:val="28"/>
                <w:szCs w:val="26"/>
                <w:lang w:val="en-US" w:eastAsia="en-US" w:bidi="ar-SA"/>
                <w:rFonts w:ascii="Times New Roman" w:hAnsi="Times New Roman" w:eastAsia="Times New Roman" w:cs="Times New Roman"/>
              </w:rPr>
              <w:t>Older 65–80</w:t>
            </w:r>
          </w:p>
        </w:tc>
        <w:tc>
          <w:tcPr>
            <w:tcW w:w="1698" w:type="dxa"/>
          </w:tcPr>
          <w:p>
            <w:pPr>
              <w:pStyle w:val="Normal"/>
            </w:pPr>
            <w:r>
              <w:rPr>
                <w:b/>
                <w:sz w:val="28"/>
                <w:szCs w:val="26"/>
                <w:lang w:val="en-US" w:eastAsia="en-US" w:bidi="ar-SA"/>
                <w:rFonts w:ascii="Times New Roman" w:hAnsi="Times New Roman" w:eastAsia="Times New Roman" w:cs="Times New Roman"/>
              </w:rPr>
              <w:t>Total</w:t>
            </w:r>
          </w:p>
        </w:tc>
      </w:tr>
      <w:tr>
        <w:trPr>
          <w:jc w:val="center"/>
        </w:trPr>
        <w:tc>
          <w:tcPr>
            <w:tcW w:w="1701"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699" w:type="dxa"/>
          </w:tcPr>
          <w:p>
            <w:pPr>
              <w:pStyle w:val="Normal"/>
            </w:pPr>
            <w:r>
              <w:rPr>
                <w:sz w:val="20"/>
                <w:szCs w:val="22"/>
                <w:lang w:val="en-US" w:eastAsia="en-US" w:bidi="ar-SA"/>
                <w:rFonts w:ascii="Times New Roman" w:hAnsi="Times New Roman" w:eastAsia="Times New Roman" w:cs="Times New Roman"/>
              </w:rPr>
              <w:t>—</w:t>
            </w:r>
          </w:p>
        </w:tc>
        <w:tc>
          <w:tcPr>
            <w:tcW w:w="1699" w:type="dxa"/>
          </w:tcPr>
          <w:p>
            <w:pPr>
              <w:pStyle w:val="Normal"/>
            </w:pPr>
            <w:r>
              <w:rPr>
                <w:sz w:val="20"/>
                <w:szCs w:val="22"/>
                <w:lang w:val="en-US" w:eastAsia="en-US" w:bidi="ar-SA"/>
                <w:rFonts w:ascii="Times New Roman" w:hAnsi="Times New Roman" w:eastAsia="Times New Roman" w:cs="Times New Roman"/>
              </w:rPr>
              <w:t>—</w:t>
            </w:r>
          </w:p>
        </w:tc>
        <w:tc>
          <w:tcPr>
            <w:tcW w:w="1698" w:type="dxa"/>
          </w:tcPr>
          <w:p>
            <w:pPr>
              <w:pStyle w:val="Normal"/>
            </w:pPr>
            <w:r>
              <w:rPr>
                <w:sz w:val="20"/>
                <w:szCs w:val="22"/>
                <w:lang w:val="en-US" w:eastAsia="en-US" w:bidi="ar-SA"/>
                <w:rFonts w:ascii="Times New Roman" w:hAnsi="Times New Roman" w:eastAsia="Times New Roman" w:cs="Times New Roman"/>
              </w:rPr>
              <w:t>—</w:t>
            </w:r>
          </w:p>
        </w:tc>
        <w:tc>
          <w:tcPr>
            <w:tcW w:w="1698" w:type="dxa"/>
          </w:tcPr>
          <w:p>
            <w:pPr>
              <w:pStyle w:val="Normal"/>
            </w:pPr>
            <w:r>
              <w:rPr>
                <w:sz w:val="20"/>
                <w:szCs w:val="22"/>
                <w:lang w:val="en-US" w:eastAsia="en-US" w:bidi="ar-SA"/>
                <w:rFonts w:ascii="Times New Roman" w:hAnsi="Times New Roman" w:eastAsia="Times New Roman" w:cs="Times New Roman"/>
              </w:rPr>
              <w:t>71.7%</w:t>
            </w:r>
          </w:p>
        </w:tc>
      </w:tr>
      <w:tr>
        <w:trPr>
          <w:jc w:val="center"/>
        </w:trPr>
        <w:tc>
          <w:tcPr>
            <w:tcW w:w="1701" w:type="dxa"/>
          </w:tcPr>
          <w:p>
            <w:pPr>
              <w:pStyle w:val="Normal"/>
            </w:pPr>
            <w:r>
              <w:rPr>
                <w:szCs w:val="22"/>
                <w:lang w:val="en-US" w:eastAsia="en-US" w:bidi="ar-SA"/>
                <w:rFonts w:ascii="Times New Roman" w:hAnsi="Times New Roman" w:eastAsia="Times New Roman" w:cs="Times New Roman"/>
                <w:sz w:val="20"/>
              </w:rPr>
              <w:t>Would use regularly if accessible</w:t>
            </w:r>
          </w:p>
        </w:tc>
        <w:tc>
          <w:tcPr>
            <w:tcW w:w="1699" w:type="dxa"/>
          </w:tcPr>
          <w:p>
            <w:pPr>
              <w:pStyle w:val="Normal"/>
            </w:pPr>
            <w:r>
              <w:rPr>
                <w:szCs w:val="22"/>
                <w:lang w:val="en-US" w:eastAsia="en-US" w:bidi="ar-SA"/>
                <w:rFonts w:ascii="Times New Roman" w:hAnsi="Times New Roman" w:eastAsia="Times New Roman" w:cs="Times New Roman"/>
                <w:sz w:val="24"/>
              </w:rPr>
              <w:t>65.8%</w:t>
            </w:r>
          </w:p>
        </w:tc>
        <w:tc>
          <w:tcPr>
            <w:tcW w:w="1699" w:type="dxa"/>
          </w:tcPr>
          <w:p>
            <w:pPr>
              <w:pStyle w:val="Normal"/>
            </w:pPr>
            <w:r>
              <w:rPr>
                <w:szCs w:val="22"/>
                <w:lang w:val="en-US" w:eastAsia="en-US" w:bidi="ar-SA"/>
                <w:rFonts w:ascii="Times New Roman" w:hAnsi="Times New Roman" w:eastAsia="Times New Roman" w:cs="Times New Roman"/>
                <w:sz w:val="24"/>
              </w:rPr>
              <w:t>68.3%</w:t>
            </w:r>
          </w:p>
        </w:tc>
        <w:tc>
          <w:tcPr>
            <w:tcW w:w="1698" w:type="dxa"/>
          </w:tcPr>
          <w:p>
            <w:pPr>
              <w:pStyle w:val="Normal"/>
            </w:pPr>
            <w:r>
              <w:rPr>
                <w:szCs w:val="22"/>
                <w:lang w:val="en-US" w:eastAsia="en-US" w:bidi="ar-SA"/>
                <w:rFonts w:ascii="Times New Roman" w:hAnsi="Times New Roman" w:eastAsia="Times New Roman" w:cs="Times New Roman"/>
                <w:sz w:val="24"/>
              </w:rPr>
              <w:t>56.1%</w:t>
            </w:r>
          </w:p>
        </w:tc>
        <w:tc>
          <w:tcPr>
            <w:tcW w:w="1698" w:type="dxa"/>
          </w:tcPr>
          <w:p>
            <w:pPr>
              <w:pStyle w:val="Normal"/>
            </w:pPr>
            <w:r>
              <w:rPr>
                <w:sz w:val="20"/>
                <w:szCs w:val="22"/>
                <w:lang w:val="en-US" w:eastAsia="en-US" w:bidi="ar-SA"/>
                <w:rFonts w:ascii="Times New Roman" w:hAnsi="Times New Roman" w:eastAsia="Times New Roman" w:cs="Times New Roman"/>
              </w:rPr>
              <w:t>63.3%</w:t>
            </w:r>
          </w:p>
        </w:tc>
      </w:tr>
    </w:tbl>
    <w:p>
      <w:pPr>
        <w:pStyle w:val="Normal"/>
        <w:spacing w:after="40"/>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w:t>
      </w:r>
    </w:p>
    <w:p>
      <w:pPr>
        <w:pStyle w:val="Normal"/>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jc w:val="center"/>
      </w:pPr>
      <w:bookmarkStart w:id="100" w:name="_Toc232024690"/>
      <w:r>
        <w:rPr>
          <w:sz w:val="24"/>
          <w:szCs w:val="22"/>
          <w:lang w:val="en-US" w:eastAsia="en-US" w:bidi="ar-SA"/>
          <w:rFonts w:ascii="Times New Roman" w:hAnsi="Times New Roman" w:eastAsia="Times New Roman" w:cs="Times New Roman"/>
          <w:i/>
          <w:b/>
        </w:rPr>
        <w:t>Figure 6.2. Return behaviour after initial dropout, by age band: 62.5% return rate in the 65–80 band.</w:t>
      </w:r>
      <w:bookmarkEnd w:id="100"/>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6.6 The Objective-Score-Improvement/Non-Return Paradox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paradox was "resolved", or that the same individuals would have behaved differently under the coupled condition. What §6.5 adds to the paradox is its other half: under the clinical frame, improvement did not bring users back; under the game frame, even failure did not keep them away.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Stated as a scope condition, the combined evidence of the three stages reads: gamification theory holds for older adults — until the gamified activity is attached to a purpose-based technology whose purpose, such as health assessment, touches the identity-level value propositions of the user; at that boundary the theory fails, and FIAS names the mechanism of the failure. This boundary condition is the thesis's central empirical claim — a nullified hypothesis giving the contribution its precise form — and the within-cohort randomised study described below is the confirmation it invites.</w:t>
      </w:r>
    </w:p>
    <w:p>
      <w:pPr>
        <w:pStyle w:val="Normal"/>
        <w:jc w:val="both"/>
      </w:pPr>
      <w:r>
        <w:rPr>
          <w:szCs w:val="22"/>
          <w:lang w:val="en-US" w:eastAsia="en-US" w:bidi="ar-SA"/>
          <w:rFonts w:ascii="Times New Roman" w:hAnsi="Times New Roman" w:eastAsia="Times New Roman" w:cs="Times New Roman"/>
          <w:sz w:val="24"/>
        </w:rPr>
        <w:t>The decisive confirmation remains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observed in-session retention was 85.4% while stated regular-use intention was 56.1%, a difference of 29.3 percentage points. These are different constructs — one is observed session completion, the other a hypothetical future intention — and the difference is a design diagnostic, not a measured causal effect. But it is the diagnostic that forced the programme's principal design discovery, and it deserves to be read carefully. Decoupling removed what was poisoning engagement; it did not add a reason to keep coming back. Half of the older participants who happily completed the session saw no place for the game in their weekly lives. And decoupling faces a deeper limit: the FRA's clinical purpose is the entire point of deploying it, so the purpose must eventually return to the experience — the design question is how it can return without re-igniting the identity threat.</w:t>
      </w:r>
    </w:p>
    <w:p>
      <w:pPr>
        <w:pStyle w:val="Normal"/>
        <w:jc w:val="both"/>
      </w:pPr>
      <w:r>
        <w:rPr>
          <w:szCs w:val="22"/>
          <w:lang w:val="en-US" w:eastAsia="en-US" w:bidi="ar-SA"/>
          <w:rFonts w:ascii="Times New Roman" w:hAnsi="Times New Roman" w:eastAsia="Times New Roman" w:cs="Times New Roman"/>
          <w:sz w:val="24"/>
        </w:rPr>
        <w:t>The answer this programme proposes is adaptive learning (§2.6.2A–B): a regime in which the activity visibly improves the person session by session, so that a rising personal trajectory — continuous improvement at the level of the individual user — becomes the reason to return, and eventually becomes the frame within which clinical purpose can be safely re-attached, because a user who reads performance as a curve can tolerate what the curve measures. This is where the discovery is born in the data; it is formalised as the adaptive-learning framework in Chapter 7 and claimed, with its evidential limits, in Chapters 8 and 9. The claim discipline matters: several rival explanations for the gap are plausible — anticipated fatigue, access barriers, scheduling burden, insufficient relevance, motor difficulty, limited enjoyment of repeated play — and a missing trajectory frame is one theoretically grounded possibility among them. The near-term study must therefore combine longitudinal behavioural follow-up with interviews or validated measures of fatigue, perceived competence, autonomy, burden, enjoyment and identity relevance before the design lever is selected.</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jc w:val="center"/>
      </w:pPr>
      <w:bookmarkStart w:id="102" w:name="_Toc232024691"/>
      <w:r>
        <w:rPr>
          <w:sz w:val="24"/>
          <w:szCs w:val="22"/>
          <w:lang w:val="en-US" w:eastAsia="en-US" w:bidi="ar-SA"/>
          <w:rFonts w:ascii="Times New Roman" w:hAnsi="Times New Roman" w:eastAsia="Times New Roman" w:cs="Times New Roman"/>
          <w:i/>
          <w:b/>
        </w:rPr>
        <w:t>Figure 6.3. Retention versus regular-use intention by age band: the 29.3-pp commitment gap in the 65–80 band.</w:t>
      </w:r>
      <w:bookmarkEnd w:id="102"/>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6.8A The Commitment Gap Read Through Group Dynamics: An Expert Consultation</w:t>
      </w:r>
    </w:p>
    <w:p>
      <w:pPr>
        <w:pStyle w:val="Normal"/>
      </w:pPr>
      <w:r>
        <w:rPr>
          <w:szCs w:val="22"/>
          <w:lang w:val="en-US" w:eastAsia="en-US" w:bidi="ar-SA"/>
          <w:rFonts w:ascii="Times New Roman" w:hAnsi="Times New Roman" w:eastAsia="Times New Roman" w:cs="Times New Roman"/>
          <w:sz w:val="24"/>
        </w:rPr>
        <w:t>The interpretation of the commitment gap was examined after the empirical programme through a single expert consultation interview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an independent statement, from a sociology of aging perspective, of the identity-level avoidance that the FIAS account proposes.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pPr>
      <w:r>
        <w:rPr>
          <w:szCs w:val="22"/>
          <w:lang w:val="en-US" w:eastAsia="en-US" w:bidi="ar-SA"/>
          <w:rFonts w:ascii="Times New Roman" w:hAnsi="Times New Roman" w:eastAsia="Times New Roman" w:cs="Times New Roman"/>
          <w:sz w:val="24"/>
        </w:rPr>
        <w:t>What the consultation adds to the commitment-gap reading is a social mechanism the programme's own data could not supply.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correspond to trajectory installation (P2), since a visible personal trajectory is exactly what makes results expected rather than 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the §8.8 study can operationalise.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3's design choices set the scope of what it can say, and the thesis is comfortable inside that scope. It is a between-cycle, between-cohort comparison, so it speaks in strong associations rather than isolated causes. The decoupling intervention is a coordinated package delivered through a change of platform and setting — an e-mailed HTML build played unsupervised at home — which is how real deployments change frames, but which also means that platform, input device and supervision changed alongside framing. The proposed mechanisms (mental accounting, loss aversion, identity protection, stereotype threat) await their direct measures; volunteers chose to take part, as participants always do; follow-up is short, as first expeditions are; and the cohorts are Chinese-cultural, which makes the cross-cultural replication of §7.7 the natural next journey. The Stage-3 framing item measures frame recognition only, and the complete adaptive-learning framework was not yet deployed. None of this dims the headline signal — post-failure return, absent in Stage 2, became the majority behaviour — it simply names the confirmatory work that signal has earned.</w:t>
      </w:r>
    </w:p>
    <w:p>
      <w:pPr>
        <w:pStyle w:val="Heading2"/>
      </w:pPr>
      <w:bookmarkStart w:id="104" w:name="_Toc23202459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 xml:space="preserve">This section specifies a comparison; it does not report one. The comparison has not been executed, and the quantitative advantage of the FIAS-augmented specification is therefore hypothesised, not demonstrated. Every statement in this section should be read as a pre-specified plan. A persistent question is whether FIAS adds incremental explanatory power beyond what TAM, STAM and a simple usage-attrition baseline can </w:t>
        <w:t>already explain. The Stage-2 and Stage-3 datasets do not yet allow a definitive nested-model comparison, but the architecture of such a comparison is specified here as a record of the inferential commitment the thesis makes. The architecture remains available for any future dataset that includes harmonised STAM instrumentation alongside FIAS coding.</w:t>
      </w:r>
    </w:p>
    <w:p>
      <w:pPr>
        <w:pStyle w:val="Heading3"/>
      </w:pPr>
      <w:bookmarkStart w:id="105" w:name="_Toc232024595"/>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prevent predictor-outcome overlap: any FIAS score used as a predictor must exclude cycle count, return status and other elements that define the outcome.</w:t>
      </w:r>
    </w:p>
    <w:p>
      <w:pPr>
        <w:pStyle w:val="FigureCaption"/>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0" w:type="auto"/>
        <w:jc w:val="center"/>
        <w:tblLook w:val="04A0" w:firstRow="1" w:lastRow="0" w:firstColumn="1" w:lastColumn="0" w:noHBand="0" w:noVBand="1"/>
      </w:tblPr>
      <w:tblGrid>
        <w:gridCol w:w="2832"/>
        <w:gridCol w:w="2832"/>
        <w:gridCol w:w="2831"/>
      </w:tblGrid>
      <w:tr>
        <w:trPr>
          <w:jc w:val="center"/>
        </w:trPr>
        <w:tc>
          <w:tcPr>
            <w:tcW w:w="2832" w:type="dxa"/>
          </w:tcPr>
          <w:p>
            <w:pPr>
              <w:pStyle w:val="Normal"/>
            </w:pPr>
            <w:r>
              <w:rPr>
                <w:b/>
                <w:sz w:val="28"/>
                <w:szCs w:val="26"/>
                <w:lang w:val="en-US" w:eastAsia="en-US" w:bidi="ar-SA"/>
                <w:rFonts w:ascii="Times New Roman" w:hAnsi="Times New Roman" w:eastAsia="Times New Roman" w:cs="Times New Roman"/>
              </w:rPr>
              <w:t>Model</w:t>
            </w:r>
          </w:p>
        </w:tc>
        <w:tc>
          <w:tcPr>
            <w:tcW w:w="2832" w:type="dxa"/>
          </w:tcPr>
          <w:p>
            <w:pPr>
              <w:pStyle w:val="Normal"/>
            </w:pPr>
            <w:r>
              <w:rPr>
                <w:b/>
                <w:sz w:val="28"/>
                <w:szCs w:val="26"/>
                <w:lang w:val="en-US" w:eastAsia="en-US" w:bidi="ar-SA"/>
                <w:rFonts w:ascii="Times New Roman" w:hAnsi="Times New Roman" w:eastAsia="Times New Roman" w:cs="Times New Roman"/>
              </w:rPr>
              <w:t>Predictors</w:t>
            </w:r>
          </w:p>
        </w:tc>
        <w:tc>
          <w:tcPr>
            <w:tcW w:w="2831" w:type="dxa"/>
          </w:tcPr>
          <w:p>
            <w:pPr>
              <w:pStyle w:val="Normal"/>
            </w:pPr>
            <w:r>
              <w:rPr>
                <w:b/>
                <w:sz w:val="28"/>
                <w:szCs w:val="26"/>
                <w:lang w:val="en-US" w:eastAsia="en-US" w:bidi="ar-SA"/>
                <w:rFonts w:ascii="Times New Roman" w:hAnsi="Times New Roman" w:eastAsia="Times New Roman" w:cs="Times New Roman"/>
              </w:rPr>
              <w:t>Construct represented</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M0 Demographic baseline</w:t>
            </w:r>
          </w:p>
        </w:tc>
        <w:tc>
          <w:tcPr>
            <w:tcW w:w="2832" w:type="dxa"/>
          </w:tcPr>
          <w:p>
            <w:pPr>
              <w:pStyle w:val="Normal"/>
            </w:pPr>
            <w:r>
              <w:rPr>
                <w:sz w:val="20"/>
                <w:szCs w:val="22"/>
                <w:lang w:val="en-US" w:eastAsia="en-US" w:bidi="ar-SA"/>
                <w:rFonts w:ascii="Times New Roman" w:hAnsi="Times New Roman" w:eastAsia="Times New Roman" w:cs="Times New Roman"/>
              </w:rPr>
              <w:t>Age band, sex, education, baseline FES-I, fall history</w:t>
            </w:r>
          </w:p>
        </w:tc>
        <w:tc>
          <w:tcPr>
            <w:tcW w:w="2831" w:type="dxa"/>
          </w:tcPr>
          <w:p>
            <w:pPr>
              <w:pStyle w:val="Normal"/>
            </w:pPr>
            <w:r>
              <w:rPr>
                <w:sz w:val="20"/>
                <w:szCs w:val="22"/>
                <w:lang w:val="en-US" w:eastAsia="en-US" w:bidi="ar-SA"/>
                <w:rFonts w:ascii="Times New Roman" w:hAnsi="Times New Roman" w:eastAsia="Times New Roman" w:cs="Times New Roman"/>
              </w:rPr>
              <w:t>Standard control covariates</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M1 STAM-only</w:t>
            </w:r>
          </w:p>
        </w:tc>
        <w:tc>
          <w:tcPr>
            <w:tcW w:w="2832" w:type="dxa"/>
          </w:tcPr>
          <w:p>
            <w:pPr>
              <w:pStyle w:val="Normal"/>
            </w:pPr>
            <w:r>
              <w:rPr>
                <w:sz w:val="20"/>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2831" w:type="dxa"/>
          </w:tcPr>
          <w:p>
            <w:pPr>
              <w:pStyle w:val="Normal"/>
            </w:pPr>
            <w:r>
              <w:rPr>
                <w:sz w:val="20"/>
                <w:szCs w:val="22"/>
                <w:lang w:val="en-US" w:eastAsia="en-US" w:bidi="ar-SA"/>
                <w:rFonts w:ascii="Times New Roman" w:hAnsi="Times New Roman" w:eastAsia="Times New Roman" w:cs="Times New Roman"/>
              </w:rPr>
              <w:t>Acceptance-model account of intention; predicts initial use</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M2 STAM + FIAS operators</w:t>
            </w:r>
          </w:p>
        </w:tc>
        <w:tc>
          <w:tcPr>
            <w:tcW w:w="2832"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2831" w:type="dxa"/>
          </w:tcPr>
          <w:p>
            <w:pPr>
              <w:pStyle w:val="Normal"/>
            </w:pPr>
            <w:r>
              <w:rPr>
                <w:szCs w:val="22"/>
                <w:lang w:val="en-US" w:eastAsia="en-US" w:bidi="ar-SA"/>
                <w:rFonts w:ascii="Times New Roman" w:hAnsi="Times New Roman" w:eastAsia="Times New Roman" w:cs="Times New Roman"/>
                <w:sz w:val="24"/>
              </w:rPr>
              <w:t>Prospective frame-sensitive account; outcome-defining variables must be excluded from predictors and the model has not yet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Comparison M0 versus M1 tests whether the standard senior-acceptance model improves on demographics alone. Comparison M1 versus M2 tests the incremental explanatory power of the FIAS operators specifically.</w:t>
      </w:r>
    </w:p>
    <w:p>
      <w:pPr>
        <w:pStyle w:val="Heading3"/>
      </w:pPr>
      <w:bookmarkStart w:id="107" w:name="_Toc232024596"/>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pre-specified. First, a likelihood-ratio test of M2 versus M1, with degrees of freedom equal to the count of FIAS-specific predictors.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w:t>
      </w:r>
    </w:p>
    <w:p>
      <w:pPr>
        <w:pStyle w:val="Heading3"/>
      </w:pPr>
      <w:bookmarkStart w:id="108" w:name="_Toc232024597"/>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is necessary but not sufficient. Decision-curve analysis (Vickers &amp; Elkin, 2006) is included in the architecture to translate model improvement into clinical-decision value. Across a range of threshold probabilities for triggering an intervention (coaching, frame switch), the net benefit of an M2-driven decision rule is compared with the net benefit of an M1-driven rule. Decision-curve analysis bridges the inferential statistics to the engineering recommendation; it weighs true-positive identification of imminent abandonment against false-positive intervention cost.</w:t>
      </w:r>
    </w:p>
    <w:p>
      <w:pPr>
        <w:pStyle w:val="Heading3"/>
      </w:pPr>
      <w:bookmarkStart w:id="109" w:name="_Toc232024598"/>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pre-specified hypothesis is that FIAS-specific, prospectively measured operators will improve prediction beyond demographics and STAM. This is a genuine future test, not an established result. If the M1-to-M2 likelihood-ratio test is non-significant, information-criterion improvement is small, calibration worsens, or decision-curve net benefit is absent, the FIAS-augmented model will not have demonstrated incremental value. The analysis should also report optimism-corrected or externally validated performance, because a large predictor set in a modest sample can overfit.</w:t>
      </w:r>
    </w:p>
    <w:p>
      <w:pPr>
        <w:pStyle w:val="Heading3"/>
      </w:pPr>
      <w:bookmarkStart w:id="110" w:name="_Toc232024599"/>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181" w:type="dxa"/>
        <w:jc w:val="center"/>
        <w:tblLook w:val="04A0" w:firstRow="1" w:lastRow="0" w:firstColumn="1" w:lastColumn="0" w:noHBand="0" w:noVBand="1"/>
      </w:tblPr>
      <w:tblGrid>
        <w:gridCol w:w="3114"/>
        <w:gridCol w:w="1092"/>
        <w:gridCol w:w="1280"/>
        <w:gridCol w:w="605"/>
        <w:gridCol w:w="2090"/>
      </w:tblGrid>
      <w:tr>
        <w:trPr>
          <w:jc w:val="center"/>
        </w:trPr>
        <w:tc>
          <w:tcPr>
            <w:tcW w:w="3114" w:type="dxa"/>
          </w:tcPr>
          <w:p>
            <w:pPr>
              <w:pStyle w:val="Normal"/>
            </w:pPr>
            <w:r>
              <w:rPr>
                <w:b/>
                <w:sz w:val="20"/>
                <w:szCs w:val="22"/>
                <w:lang w:val="en-US" w:eastAsia="en-US" w:bidi="ar-SA"/>
                <w:rFonts w:ascii="Times New Roman" w:hAnsi="Times New Roman" w:eastAsia="Times New Roman" w:cs="Times New Roman"/>
              </w:rPr>
              <w:t>Contrast or quantity</w:t>
            </w:r>
          </w:p>
        </w:tc>
        <w:tc>
          <w:tcPr>
            <w:tcW w:w="1092" w:type="dxa"/>
          </w:tcPr>
          <w:p>
            <w:pPr>
              <w:pStyle w:val="Normal"/>
            </w:pPr>
            <w:r>
              <w:rPr>
                <w:b/>
                <w:sz w:val="20"/>
                <w:szCs w:val="22"/>
                <w:lang w:val="en-US" w:eastAsia="en-US" w:bidi="ar-SA"/>
                <w:rFonts w:ascii="Times New Roman" w:hAnsi="Times New Roman" w:eastAsia="Times New Roman" w:cs="Times New Roman"/>
              </w:rPr>
              <w:t>Estimate</w:t>
            </w:r>
          </w:p>
        </w:tc>
        <w:tc>
          <w:tcPr>
            <w:tcW w:w="1280" w:type="dxa"/>
          </w:tcPr>
          <w:p>
            <w:pPr>
              <w:pStyle w:val="Normal"/>
            </w:pPr>
            <w:r>
              <w:rPr>
                <w:b/>
                <w:sz w:val="20"/>
                <w:szCs w:val="22"/>
                <w:lang w:val="en-US" w:eastAsia="en-US" w:bidi="ar-SA"/>
                <w:rFonts w:ascii="Times New Roman" w:hAnsi="Times New Roman" w:eastAsia="Times New Roman" w:cs="Times New Roman"/>
              </w:rPr>
              <w:t>95% CI</w:t>
            </w:r>
          </w:p>
        </w:tc>
        <w:tc>
          <w:tcPr>
            <w:tcW w:w="605" w:type="dxa"/>
          </w:tcPr>
          <w:p>
            <w:pPr>
              <w:pStyle w:val="Normal"/>
            </w:pPr>
            <w:r>
              <w:rPr>
                <w:b/>
                <w:sz w:val="20"/>
                <w:szCs w:val="22"/>
                <w:lang w:val="en-US" w:eastAsia="en-US" w:bidi="ar-SA"/>
                <w:rFonts w:ascii="Times New Roman" w:hAnsi="Times New Roman" w:eastAsia="Times New Roman" w:cs="Times New Roman"/>
              </w:rPr>
              <w:t>n</w:t>
            </w:r>
          </w:p>
        </w:tc>
        <w:tc>
          <w:tcPr>
            <w:tcW w:w="2090" w:type="dxa"/>
          </w:tcPr>
          <w:p>
            <w:pPr>
              <w:pStyle w:val="Normal"/>
            </w:pPr>
            <w:r>
              <w:rPr>
                <w:b/>
                <w:sz w:val="20"/>
                <w:szCs w:val="22"/>
                <w:lang w:val="en-US" w:eastAsia="en-US" w:bidi="ar-SA"/>
                <w:rFonts w:ascii="Times New Roman" w:hAnsi="Times New Roman" w:eastAsia="Times New Roman" w:cs="Times New Roman"/>
              </w:rPr>
              <w:t>Test / source</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092" w:type="dxa"/>
          </w:tcPr>
          <w:p>
            <w:pPr>
              <w:pStyle w:val="Normal"/>
            </w:pPr>
            <w:r>
              <w:rPr>
                <w:szCs w:val="22"/>
                <w:lang w:val="en-US" w:eastAsia="en-US" w:bidi="ar-SA"/>
                <w:rFonts w:ascii="Times New Roman" w:hAnsi="Times New Roman" w:eastAsia="Times New Roman" w:cs="Times New Roman"/>
                <w:sz w:val="24"/>
              </w:rPr>
              <w:t>70.0%</w:t>
            </w:r>
          </w:p>
        </w:tc>
        <w:tc>
          <w:tcPr>
            <w:tcW w:w="1280" w:type="dxa"/>
          </w:tcPr>
          <w:p>
            <w:pPr>
              <w:pStyle w:val="Normal"/>
            </w:pPr>
            <w:r>
              <w:rPr>
                <w:szCs w:val="22"/>
                <w:lang w:val="en-US" w:eastAsia="en-US" w:bidi="ar-SA"/>
                <w:rFonts w:ascii="Times New Roman" w:hAnsi="Times New Roman" w:eastAsia="Times New Roman" w:cs="Times New Roman"/>
                <w:sz w:val="24"/>
              </w:rPr>
              <w:t>52.1–83.3%*</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092"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280" w:type="dxa"/>
          </w:tcPr>
          <w:p>
            <w:pPr>
              <w:pStyle w:val="Normal"/>
            </w:pPr>
            <w:r>
              <w:rPr>
                <w:szCs w:val="22"/>
                <w:lang w:val="en-US" w:eastAsia="en-US" w:bidi="ar-SA"/>
                <w:rFonts w:ascii="Times New Roman" w:hAnsi="Times New Roman" w:eastAsia="Times New Roman" w:cs="Times New Roman"/>
                <w:sz w:val="24"/>
              </w:rPr>
              <w:t>dz 0.95–3.46; mean 4.5–9.3</w:t>
            </w:r>
          </w:p>
        </w:tc>
        <w:tc>
          <w:tcPr>
            <w:tcW w:w="605" w:type="dxa"/>
          </w:tcPr>
          <w:p>
            <w:pPr>
              <w:pStyle w:val="Normal"/>
            </w:pPr>
            <w:r>
              <w:rPr>
                <w:szCs w:val="22"/>
                <w:lang w:val="en-US" w:eastAsia="en-US" w:bidi="ar-SA"/>
                <w:rFonts w:ascii="Times New Roman" w:hAnsi="Times New Roman" w:eastAsia="Times New Roman" w:cs="Times New Roman"/>
                <w:sz w:val="24"/>
              </w:rPr>
              <w:t>9</w:t>
            </w:r>
          </w:p>
        </w:tc>
        <w:tc>
          <w:tcPr>
            <w:tcW w:w="2090"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092" w:type="dxa"/>
          </w:tcPr>
          <w:p>
            <w:pPr>
              <w:pStyle w:val="Normal"/>
            </w:pPr>
            <w:r>
              <w:rPr>
                <w:szCs w:val="22"/>
                <w:lang w:val="en-US" w:eastAsia="en-US" w:bidi="ar-SA"/>
                <w:rFonts w:ascii="Times New Roman" w:hAnsi="Times New Roman" w:eastAsia="Times New Roman" w:cs="Times New Roman"/>
                <w:sz w:val="24"/>
              </w:rPr>
              <w:t>dz = 0.42; mean +4.0 points</w:t>
            </w:r>
          </w:p>
        </w:tc>
        <w:tc>
          <w:tcPr>
            <w:tcW w:w="1280" w:type="dxa"/>
          </w:tcPr>
          <w:p>
            <w:pPr>
              <w:pStyle w:val="Normal"/>
            </w:pPr>
            <w:r>
              <w:rPr>
                <w:szCs w:val="22"/>
                <w:lang w:val="en-US" w:eastAsia="en-US" w:bidi="ar-SA"/>
                <w:rFonts w:ascii="Times New Roman" w:hAnsi="Times New Roman" w:eastAsia="Times New Roman" w:cs="Times New Roman"/>
                <w:sz w:val="24"/>
              </w:rPr>
              <w:t>dz 0.05–0.79; mean 0.5–7.6</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092" w:type="dxa"/>
          </w:tcPr>
          <w:p>
            <w:pPr>
              <w:pStyle w:val="Normal"/>
            </w:pPr>
            <w:r>
              <w:rPr>
                <w:szCs w:val="22"/>
                <w:lang w:val="en-US" w:eastAsia="en-US" w:bidi="ar-SA"/>
                <w:rFonts w:ascii="Times New Roman" w:hAnsi="Times New Roman" w:eastAsia="Times New Roman" w:cs="Times New Roman"/>
                <w:sz w:val="24"/>
              </w:rPr>
              <w:t>9/9 vs 11/21 satisfied</w:t>
            </w:r>
          </w:p>
        </w:tc>
        <w:tc>
          <w:tcPr>
            <w:tcW w:w="1280" w:type="dxa"/>
          </w:tcPr>
          <w:p>
            <w:pPr>
              <w:pStyle w:val="Normal"/>
            </w:pPr>
            <w:r>
              <w:rPr>
                <w:szCs w:val="22"/>
                <w:lang w:val="en-US" w:eastAsia="en-US" w:bidi="ar-SA"/>
                <w:rFonts w:ascii="Times New Roman" w:hAnsi="Times New Roman" w:eastAsia="Times New Roman" w:cs="Times New Roman"/>
                <w:sz w:val="24"/>
              </w:rPr>
              <w:t>p = 0.013</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Fisher's exact test; §5.5</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092" w:type="dxa"/>
          </w:tcPr>
          <w:p>
            <w:pPr>
              <w:pStyle w:val="Normal"/>
            </w:pPr>
            <w:r>
              <w:rPr>
                <w:sz w:val="24"/>
                <w:szCs w:val="22"/>
                <w:lang w:val="en-US" w:eastAsia="en-US" w:bidi="ar-SA"/>
                <w:rFonts w:ascii="Times New Roman" w:hAnsi="Times New Roman" w:eastAsia="Times New Roman" w:cs="Times New Roman"/>
                <w:b/>
              </w:rPr>
              <w:t>0.0%</w:t>
            </w:r>
          </w:p>
        </w:tc>
        <w:tc>
          <w:tcPr>
            <w:tcW w:w="1280" w:type="dxa"/>
          </w:tcPr>
          <w:p>
            <w:pPr>
              <w:pStyle w:val="Normal"/>
            </w:pPr>
            <w:r>
              <w:rPr>
                <w:sz w:val="24"/>
                <w:szCs w:val="22"/>
                <w:lang w:val="en-US" w:eastAsia="en-US" w:bidi="ar-SA"/>
                <w:rFonts w:ascii="Times New Roman" w:hAnsi="Times New Roman" w:eastAsia="Times New Roman" w:cs="Times New Roman"/>
                <w:b/>
              </w:rPr>
              <w:t>0.0–15.5%*</w:t>
            </w:r>
          </w:p>
        </w:tc>
        <w:tc>
          <w:tcPr>
            <w:tcW w:w="605" w:type="dxa"/>
          </w:tcPr>
          <w:p>
            <w:pPr>
              <w:pStyle w:val="Normal"/>
            </w:pPr>
            <w:r>
              <w:rPr>
                <w:sz w:val="24"/>
                <w:szCs w:val="22"/>
                <w:lang w:val="en-US" w:eastAsia="en-US" w:bidi="ar-SA"/>
                <w:rFonts w:ascii="Times New Roman" w:hAnsi="Times New Roman" w:eastAsia="Times New Roman" w:cs="Times New Roman"/>
                <w:b/>
              </w:rPr>
              <w:t>21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092" w:type="dxa"/>
          </w:tcPr>
          <w:p>
            <w:pPr>
              <w:pStyle w:val="Normal"/>
            </w:pPr>
            <w:r>
              <w:rPr>
                <w:sz w:val="24"/>
                <w:szCs w:val="22"/>
                <w:lang w:val="en-US" w:eastAsia="en-US" w:bidi="ar-SA"/>
                <w:rFonts w:ascii="Times New Roman" w:hAnsi="Times New Roman" w:eastAsia="Times New Roman" w:cs="Times New Roman"/>
                <w:b/>
              </w:rPr>
              <w:t>65.2%</w:t>
            </w:r>
          </w:p>
        </w:tc>
        <w:tc>
          <w:tcPr>
            <w:tcW w:w="1280" w:type="dxa"/>
          </w:tcPr>
          <w:p>
            <w:pPr>
              <w:pStyle w:val="Normal"/>
            </w:pPr>
            <w:r>
              <w:rPr>
                <w:sz w:val="24"/>
                <w:szCs w:val="22"/>
                <w:lang w:val="en-US" w:eastAsia="en-US" w:bidi="ar-SA"/>
                <w:rFonts w:ascii="Times New Roman" w:hAnsi="Times New Roman" w:eastAsia="Times New Roman" w:cs="Times New Roman"/>
                <w:b/>
              </w:rPr>
              <w:t>44.9–81.2%*</w:t>
            </w:r>
          </w:p>
        </w:tc>
        <w:tc>
          <w:tcPr>
            <w:tcW w:w="605" w:type="dxa"/>
          </w:tcPr>
          <w:p>
            <w:pPr>
              <w:pStyle w:val="Normal"/>
            </w:pPr>
            <w:r>
              <w:rPr>
                <w:sz w:val="24"/>
                <w:szCs w:val="22"/>
                <w:lang w:val="en-US" w:eastAsia="en-US" w:bidi="ar-SA"/>
                <w:rFonts w:ascii="Times New Roman" w:hAnsi="Times New Roman" w:eastAsia="Times New Roman" w:cs="Times New Roman"/>
                <w:b/>
              </w:rPr>
              <w:t>23</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092" w:type="dxa"/>
          </w:tcPr>
          <w:p>
            <w:pPr>
              <w:pStyle w:val="Normal"/>
            </w:pPr>
            <w:r>
              <w:rPr>
                <w:sz w:val="24"/>
                <w:szCs w:val="22"/>
                <w:lang w:val="en-US" w:eastAsia="en-US" w:bidi="ar-SA"/>
                <w:rFonts w:ascii="Times New Roman" w:hAnsi="Times New Roman" w:eastAsia="Times New Roman" w:cs="Times New Roman"/>
                <w:b/>
              </w:rPr>
              <w:t>62.5%</w:t>
            </w:r>
          </w:p>
        </w:tc>
        <w:tc>
          <w:tcPr>
            <w:tcW w:w="1280" w:type="dxa"/>
          </w:tcPr>
          <w:p>
            <w:pPr>
              <w:pStyle w:val="Normal"/>
            </w:pPr>
            <w:r>
              <w:rPr>
                <w:sz w:val="24"/>
                <w:szCs w:val="22"/>
                <w:lang w:val="en-US" w:eastAsia="en-US" w:bidi="ar-SA"/>
                <w:rFonts w:ascii="Times New Roman" w:hAnsi="Times New Roman" w:eastAsia="Times New Roman" w:cs="Times New Roman"/>
                <w:b/>
              </w:rPr>
              <w:t>38.6–81.5%*</w:t>
            </w:r>
          </w:p>
        </w:tc>
        <w:tc>
          <w:tcPr>
            <w:tcW w:w="605" w:type="dxa"/>
          </w:tcPr>
          <w:p>
            <w:pPr>
              <w:pStyle w:val="Normal"/>
            </w:pPr>
            <w:r>
              <w:rPr>
                <w:sz w:val="24"/>
                <w:szCs w:val="22"/>
                <w:lang w:val="en-US" w:eastAsia="en-US" w:bidi="ar-SA"/>
                <w:rFonts w:ascii="Times New Roman" w:hAnsi="Times New Roman" w:eastAsia="Times New Roman" w:cs="Times New Roman"/>
                <w:b/>
              </w:rPr>
              <w:t>16</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092" w:type="dxa"/>
          </w:tcPr>
          <w:p>
            <w:pPr>
              <w:pStyle w:val="Normal"/>
            </w:pPr>
            <w:r>
              <w:rPr>
                <w:szCs w:val="22"/>
                <w:lang w:val="en-US" w:eastAsia="en-US" w:bidi="ar-SA"/>
                <w:rFonts w:ascii="Times New Roman" w:hAnsi="Times New Roman" w:eastAsia="Times New Roman" w:cs="Times New Roman"/>
                <w:sz w:val="24"/>
              </w:rPr>
              <w:t>14.6%</w:t>
            </w:r>
          </w:p>
        </w:tc>
        <w:tc>
          <w:tcPr>
            <w:tcW w:w="1280" w:type="dxa"/>
          </w:tcPr>
          <w:p>
            <w:pPr>
              <w:pStyle w:val="Normal"/>
            </w:pPr>
            <w:r>
              <w:rPr>
                <w:szCs w:val="22"/>
                <w:lang w:val="en-US" w:eastAsia="en-US" w:bidi="ar-SA"/>
                <w:rFonts w:ascii="Times New Roman" w:hAnsi="Times New Roman" w:eastAsia="Times New Roman" w:cs="Times New Roman"/>
                <w:sz w:val="24"/>
              </w:rPr>
              <w:t>6.9–28.4%*</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092" w:type="dxa"/>
          </w:tcPr>
          <w:p>
            <w:pPr>
              <w:pStyle w:val="Normal"/>
            </w:pPr>
            <w:r>
              <w:rPr>
                <w:sz w:val="24"/>
                <w:szCs w:val="22"/>
                <w:lang w:val="en-US" w:eastAsia="en-US" w:bidi="ar-SA"/>
                <w:rFonts w:ascii="Times New Roman" w:hAnsi="Times New Roman" w:eastAsia="Times New Roman" w:cs="Times New Roman"/>
                <w:b/>
              </w:rPr>
              <w:t>71.7%</w:t>
            </w:r>
          </w:p>
        </w:tc>
        <w:tc>
          <w:tcPr>
            <w:tcW w:w="1280" w:type="dxa"/>
          </w:tcPr>
          <w:p>
            <w:pPr>
              <w:pStyle w:val="Normal"/>
            </w:pPr>
            <w:r>
              <w:rPr>
                <w:sz w:val="24"/>
                <w:szCs w:val="22"/>
                <w:lang w:val="en-US" w:eastAsia="en-US" w:bidi="ar-SA"/>
                <w:rFonts w:ascii="Times New Roman" w:hAnsi="Times New Roman" w:eastAsia="Times New Roman" w:cs="Times New Roman"/>
                <w:b/>
              </w:rPr>
              <w:t>63.0–79.0%*</w:t>
            </w:r>
          </w:p>
        </w:tc>
        <w:tc>
          <w:tcPr>
            <w:tcW w:w="605" w:type="dxa"/>
          </w:tcPr>
          <w:p>
            <w:pPr>
              <w:pStyle w:val="Normal"/>
            </w:pPr>
            <w:r>
              <w:rPr>
                <w:sz w:val="24"/>
                <w:szCs w:val="22"/>
                <w:lang w:val="en-US" w:eastAsia="en-US" w:bidi="ar-SA"/>
                <w:rFonts w:ascii="Times New Roman" w:hAnsi="Times New Roman" w:eastAsia="Times New Roman" w:cs="Times New Roman"/>
                <w:b/>
              </w:rPr>
              <w:t>120</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092" w:type="dxa"/>
          </w:tcPr>
          <w:p>
            <w:pPr>
              <w:pStyle w:val="Normal"/>
            </w:pPr>
            <w:r>
              <w:rPr>
                <w:szCs w:val="22"/>
                <w:lang w:val="en-US" w:eastAsia="en-US" w:bidi="ar-SA"/>
                <w:rFonts w:ascii="Times New Roman" w:hAnsi="Times New Roman" w:eastAsia="Times New Roman" w:cs="Times New Roman"/>
                <w:sz w:val="24"/>
              </w:rPr>
              <w:t>56.1%</w:t>
            </w:r>
          </w:p>
        </w:tc>
        <w:tc>
          <w:tcPr>
            <w:tcW w:w="1280" w:type="dxa"/>
          </w:tcPr>
          <w:p>
            <w:pPr>
              <w:pStyle w:val="Normal"/>
            </w:pPr>
            <w:r>
              <w:rPr>
                <w:szCs w:val="22"/>
                <w:lang w:val="en-US" w:eastAsia="en-US" w:bidi="ar-SA"/>
                <w:rFonts w:ascii="Times New Roman" w:hAnsi="Times New Roman" w:eastAsia="Times New Roman" w:cs="Times New Roman"/>
                <w:sz w:val="24"/>
              </w:rPr>
              <w:t>41.0–70.1%*</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092" w:type="dxa"/>
          </w:tcPr>
          <w:p>
            <w:pPr>
              <w:pStyle w:val="Normal"/>
            </w:pPr>
            <w:r>
              <w:rPr>
                <w:szCs w:val="22"/>
                <w:lang w:val="en-US" w:eastAsia="en-US" w:bidi="ar-SA"/>
                <w:rFonts w:ascii="Times New Roman" w:hAnsi="Times New Roman" w:eastAsia="Times New Roman" w:cs="Times New Roman"/>
                <w:sz w:val="24"/>
              </w:rPr>
              <w:t>29.3 pp</w:t>
            </w:r>
          </w:p>
        </w:tc>
        <w:tc>
          <w:tcPr>
            <w:tcW w:w="1280" w:type="dxa"/>
          </w:tcPr>
          <w:p>
            <w:pPr>
              <w:pStyle w:val="Normal"/>
            </w:pPr>
            <w:r>
              <w:rPr>
                <w:sz w:val="24"/>
                <w:szCs w:val="22"/>
                <w:lang w:val="en-US" w:eastAsia="en-US" w:bidi="ar-SA"/>
                <w:rFonts w:ascii="Times New Roman" w:hAnsi="Times New Roman" w:eastAsia="Times New Roman" w:cs="Times New Roman"/>
                <w:b/>
              </w:rPr>
              <w:t>see note</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Cs w:val="22"/>
                <w:lang w:val="en-US" w:eastAsia="en-US" w:bidi="ar-SA"/>
                <w:rFonts w:ascii="Times New Roman" w:hAnsi="Times New Roman" w:eastAsia="Times New Roman" w:cs="Times New Roman"/>
                <w:sz w:val="24"/>
              </w:rPr>
              <w:t>Difference between distinct outcomes (85.4%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confidence interval for the 29.3-percentage-point difference should respect the fact that retention and intention are distinct measures and may not represent a simple paired effect. The earlier motivational-orientation odds ratio has been withdrawn (§5.5).</w:t>
      </w:r>
    </w:p>
    <w:p>
      <w:pPr>
        <w:pStyle w:val="Normal"/>
        <w:spacing w:after="20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i/>
        </w:rPr>
        <w:t>Chapter 7 Discussion: Adaptive Learning as the Behavioural-Change Driver</w:t>
      </w:r>
      <w:bookmarkEnd w:id="111"/>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7.1 Why the Empirical Programme Forces Adaptive Learning</w:t>
      </w:r>
    </w:p>
    <w:p>
      <w:pPr>
        <w:pStyle w:val="Normal"/>
        <w:jc w:val="both"/>
      </w:pPr>
      <w:r>
        <w:rPr>
          <w:szCs w:val="22"/>
          <w:lang w:val="en-US" w:eastAsia="en-US" w:bidi="ar-SA"/>
          <w:rFonts w:ascii="Times New Roman" w:hAnsi="Times New Roman" w:eastAsia="Times New Roman" w:cs="Times New Roman"/>
          <w:sz w:val="24"/>
        </w:rPr>
        <w:t>This chapter formalises the programme's principal design discovery. Chapter 6 ended on a dilemma: decoupling removed what was poisoning engagement — post-failure return rose substantially in the decoupled cohort — but it added no positive reason for repeated use, as the 29.3-percentage-point gap between session retention and regular-use intention in the oldest band showed; and decoupling cannot be the final answer in any case, because the FRA's clinical purpose is the point of deploying it and must eventually return to the experience. Adaptive learning is the design discovery that resolves the dilemma (§6.8): make the activity visibly improve the person, session by session, so that a rising personal trajectory becomes the reason to return — and eventually becomes the frame within which the clinical purpose can be re-attached without re-igniting the identity threat. The empirical programme is what makes this discovery visible; whether adaptive learning closes the observed gap is precisely the question the pre-specified confirmatory study is designed to answer, and this chapter builds the framework that study will test.</w:t>
      </w:r>
    </w:p>
    <w:p>
      <w:pPr>
        <w:pStyle w:val="Normal"/>
        <w:jc w:val="both"/>
      </w:pPr>
      <w:r>
        <w:rPr>
          <w:szCs w:val="22"/>
          <w:lang w:val="en-US" w:eastAsia="en-US" w:bidi="ar-SA"/>
          <w:rFonts w:ascii="Times New Roman" w:hAnsi="Times New Roman" w:eastAsia="Times New Roman" w:cs="Times New Roman"/>
          <w:sz w:val="24"/>
        </w:rPr>
        <w:t>The proposed relationship among framing, identity-relevant appraisal and adaptive learning has three steps. First, clinical cues may increase the likelihood that performance is interpreted through a health or decline-related frame. Second, an adverse event under that frame may be experienced as more self-relevant than the same event in a coordination game. Third, a visible learning trajectory may offer a competing interpretation in which the event informs the next action. Mental accounting and endowment remain candidate mechanisms, and the complete sequence requires direct measurement. The adaptive-learning framework is therefore an engineering hypothesis built from convergent evidence, not a verified psychological model.</w:t>
      </w:r>
    </w:p>
    <w:p>
      <w:pPr>
        <w:pStyle w:val="Heading2"/>
      </w:pPr>
      <w:bookmarkStart w:id="112" w:name="_Toc23202460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has a substantial literature in educational technology and intelligent tutoring systems. Its application to elderly users in gamified health contexts is more limited. Three anchors are relevant. First, the ageing-HCI evidence (Hawthorn, 2007; Lee &amp; Coughlin, 2015) shows that pacing and feedback adaptation matter more for older users than for younger users, and the intelligent-tutoring record (VanLehn, 2011) shows how much fine-grained adaptation can deliver. Second, flow theory and the zone-of-proximal-development tradition (Csikszentmihalyi, 1990; Vygotsky, 1978) provide the mechanism for why adaptive calibration sustains engagement: challenge tracks evolving capability, neither falling below boredom nor rising above frustration. Third, productive failure (Kapur, 2008) reframes failure events as part of the learning curve rather than as evidence of inadequacy. The three anchors converge on the same design move: present the activity as a curve and calibrate the difficulty so that the user remains on the curve.</w:t>
      </w:r>
    </w:p>
    <w:p>
      <w:pPr>
        <w:pStyle w:val="Normal"/>
        <w:jc w:val="both"/>
      </w:pPr>
      <w:r>
        <w:rPr>
          <w:szCs w:val="22"/>
          <w:lang w:val="en-US" w:eastAsia="en-US" w:bidi="ar-SA"/>
          <w:rFonts w:ascii="Times New Roman" w:hAnsi="Times New Roman" w:eastAsia="Times New Roman" w:cs="Times New Roman"/>
          <w:sz w:val="24"/>
        </w:rPr>
        <w:t>The Stage-2 system's Layer 2 already contains a partial implementation of adaptive calibration. The 80%/40% threshold rule keeps challenge in the flow band, and the LangChain prompt template grounds the recommendations in flow theory and challenge–skill balance. What Stage 2 did not have was a user-facing trajectory representation; the user could not see the curve. Layer 5 of the adaptive-learning reference stack (§7.5.2) closes that gap.</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 relatively fixed, identity-protective appraisal and a learning-trajectory appraisal place different meanings on the same event. The former can make an unfavourable result feel like a loss of valued self-description; the latter makes it information about current position and next action. These appraisals are not assumed to be mutually exclusive or to eliminate identity. The design objective is to make the trajectory appraisal credible and salient while preserving truthful information, meaningful challenge and user autonomy. Whether this reduces non-return is an empirical question for the controlled the adaptive-learning framework trial.</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7.4 Formalising the Discovery: The Adaptive-Learning Framework</w:t>
      </w:r>
      <w:bookmarkEnd w:id="113"/>
    </w:p>
    <w:p>
      <w:pPr>
        <w:pStyle w:val="Normal"/>
        <w:jc w:val="both"/>
      </w:pPr>
      <w:r>
        <w:rPr>
          <w:szCs w:val="22"/>
          <w:lang w:val="en-US" w:eastAsia="en-US" w:bidi="ar-SA"/>
          <w:rFonts w:ascii="Times New Roman" w:hAnsi="Times New Roman" w:eastAsia="Times New Roman" w:cs="Times New Roman"/>
          <w:sz w:val="24"/>
        </w:rPr>
        <w:t>The adaptive-learning framework is the engineering formalisation of the adaptive-learning discovery for the gamified FRA domain — the packaging, not the finding. It organises three proposed principles in the discovery's service. P1, Identity Disentanglement, reduces participant-facing clinical-verdict cues; its empirical motivation is the higher post-failure return observed in the separate Stage-3 decoupled cohort. P2, Trajectory Installation, makes change over time and the next achievable step visible; its motivation is the practical difference between session retention and stated regular-use intention, not proof that trajectory absence caused that difference. P3, Adaptive Calibration, adjusts challenge, feedback and pacing to observed capability; Stage 2 contained a partial difficulty-adjustment implementation, but the complete principle and its effect on return were not tested. The framework therefore combines one empirically supported design direction with two prospectively testable extensions. The zero-failure state repertoire (§5.3.10; §2.6.2C) is the supporting element that P1 and P3 share: it removes verdict presentation at the moment of difficulty so that the trajectory interpretation of P2 has room to form.</w:t>
      </w:r>
    </w:p>
    <w:p>
      <w:pPr>
        <w:pStyle w:val="Normal"/>
      </w:pPr>
      <w:r>
        <w:rPr>
          <w:szCs w:val="22"/>
          <w:lang w:val="en-US" w:eastAsia="en-US" w:bidi="ar-SA"/>
          <w:rFonts w:ascii="Times New Roman" w:hAnsi="Times New Roman" w:eastAsia="Times New Roman" w:cs="Times New Roman"/>
          <w:sz w:val="24"/>
        </w:rPr>
        <w:t>Why exactly three principles, and not two or four? The number and identity of the principles follow from the structure of the failure-appraisal chain that the FIAS account identifies,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empirical record indicates what happens then: the Stage-2 build already carried a partial calibration implementation, yet non-return occurred while the frame and target links were untreated; and Stage 3 treated the target link alone, which was associated with restored post-failure return but left the commitment gap open. More than three would duplicate a lever rather than add one: the candidate additions the programme examined — zero-failure presentation, social scaffolding, reward scheduling — decompose into presentation-layer or parameter choices within the three links, which is why zero-failure presentation appears above as the element P1 and P3 share rather than as a fourth principle. The framework is therefore jointly exhaustive over the appraisal chain, individually non-redundant, and anchored link by link to the observed failure modes.</w:t>
      </w:r>
    </w:p>
    <w:p>
      <w:pPr>
        <w:pStyle w:val="FigureCaption"/>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0" w:type="auto"/>
        <w:jc w:val="center"/>
        <w:tblLook w:val="04A0" w:firstRow="1" w:lastRow="0" w:firstColumn="1" w:lastColumn="0" w:noHBand="0" w:noVBand="1"/>
      </w:tblPr>
      <w:tblGrid>
        <w:gridCol w:w="2833"/>
        <w:gridCol w:w="2831"/>
        <w:gridCol w:w="2831"/>
      </w:tblGrid>
      <w:tr>
        <w:trPr>
          <w:jc w:val="center"/>
        </w:trPr>
        <w:tc>
          <w:tcPr>
            <w:tcW w:w="2833" w:type="dxa"/>
          </w:tcPr>
          <w:p>
            <w:pPr>
              <w:pStyle w:val="Normal"/>
            </w:pPr>
            <w:r>
              <w:rPr>
                <w:b/>
                <w:sz w:val="20"/>
                <w:szCs w:val="22"/>
                <w:lang w:val="en-US" w:eastAsia="en-US" w:bidi="ar-SA"/>
                <w:rFonts w:ascii="Times New Roman" w:hAnsi="Times New Roman" w:eastAsia="Times New Roman" w:cs="Times New Roman"/>
              </w:rPr>
              <w:t>Principle</w:t>
            </w:r>
          </w:p>
        </w:tc>
        <w:tc>
          <w:tcPr>
            <w:tcW w:w="2831" w:type="dxa"/>
          </w:tcPr>
          <w:p>
            <w:pPr>
              <w:pStyle w:val="Normal"/>
            </w:pPr>
            <w:r>
              <w:rPr>
                <w:b/>
                <w:sz w:val="20"/>
                <w:szCs w:val="22"/>
                <w:lang w:val="en-US" w:eastAsia="en-US" w:bidi="ar-SA"/>
                <w:rFonts w:ascii="Times New Roman" w:hAnsi="Times New Roman" w:eastAsia="Times New Roman" w:cs="Times New Roman"/>
              </w:rPr>
              <w:t>What it does</w:t>
            </w:r>
          </w:p>
        </w:tc>
        <w:tc>
          <w:tcPr>
            <w:tcW w:w="2831" w:type="dxa"/>
          </w:tcPr>
          <w:p>
            <w:pPr>
              <w:pStyle w:val="Normal"/>
            </w:pPr>
            <w:r>
              <w:rPr>
                <w:b/>
                <w:sz w:val="20"/>
                <w:szCs w:val="22"/>
                <w:lang w:val="en-US" w:eastAsia="en-US" w:bidi="ar-SA"/>
                <w:rFonts w:ascii="Times New Roman" w:hAnsi="Times New Roman" w:eastAsia="Times New Roman" w:cs="Times New Roman"/>
              </w:rPr>
              <w:t>Empirical anchor</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P1 Identity Disentanglement</w:t>
            </w:r>
          </w:p>
        </w:tc>
        <w:tc>
          <w:tcPr>
            <w:tcW w:w="2831" w:type="dxa"/>
          </w:tcPr>
          <w:p>
            <w:pPr>
              <w:pStyle w:val="Normal"/>
            </w:pPr>
            <w:r>
              <w:rPr>
                <w:sz w:val="20"/>
                <w:szCs w:val="22"/>
                <w:lang w:val="en-US" w:eastAsia="en-US" w:bidi="ar-SA"/>
                <w:rFonts w:ascii="Times New Roman" w:hAnsi="Times New Roman" w:eastAsia="Times New Roman" w:cs="Times New Roman"/>
              </w:rPr>
              <w:t>Removes the cue that sorts the activity into the user's health account</w:t>
            </w:r>
          </w:p>
        </w:tc>
        <w:tc>
          <w:tcPr>
            <w:tcW w:w="2831" w:type="dxa"/>
          </w:tcPr>
          <w:p>
            <w:pPr>
              <w:pStyle w:val="Normal"/>
            </w:pPr>
            <w:r>
              <w:rPr>
                <w:szCs w:val="22"/>
                <w:lang w:val="en-US" w:eastAsia="en-US" w:bidi="ar-SA"/>
                <w:rFonts w:ascii="Times New Roman" w:hAnsi="Times New Roman" w:eastAsia="Times New Roman" w:cs="Times New Roman"/>
                <w:sz w:val="24"/>
              </w:rPr>
              <w:t>Motivated by higher post-failure return in the separate Stage-3 decoupled cohort</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P2 Trajectory Installation</w:t>
            </w:r>
          </w:p>
        </w:tc>
        <w:tc>
          <w:tcPr>
            <w:tcW w:w="2831" w:type="dxa"/>
          </w:tcPr>
          <w:p>
            <w:pPr>
              <w:pStyle w:val="Normal"/>
            </w:pPr>
            <w:r>
              <w:rPr>
                <w:sz w:val="20"/>
                <w:szCs w:val="22"/>
                <w:lang w:val="en-US" w:eastAsia="en-US" w:bidi="ar-SA"/>
                <w:rFonts w:ascii="Times New Roman" w:hAnsi="Times New Roman" w:eastAsia="Times New Roman" w:cs="Times New Roman"/>
              </w:rPr>
              <w:t>Makes a dynamic self-concept trajectory the reference point against which performance is read</w:t>
            </w:r>
          </w:p>
        </w:tc>
        <w:tc>
          <w:tcPr>
            <w:tcW w:w="2831"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causal mechanism untested</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P3 Adaptive Calibration</w:t>
            </w:r>
          </w:p>
        </w:tc>
        <w:tc>
          <w:tcPr>
            <w:tcW w:w="2831" w:type="dxa"/>
          </w:tcPr>
          <w:p>
            <w:pPr>
              <w:pStyle w:val="Normal"/>
            </w:pPr>
            <w:r>
              <w:rPr>
                <w:sz w:val="20"/>
                <w:szCs w:val="22"/>
                <w:lang w:val="en-US" w:eastAsia="en-US" w:bidi="ar-SA"/>
                <w:rFonts w:ascii="Times New Roman" w:hAnsi="Times New Roman" w:eastAsia="Times New Roman" w:cs="Times New Roman"/>
              </w:rPr>
              <w:t>Continuously matches challenge, feedback affect and pacing to the user's position</w:t>
            </w:r>
          </w:p>
        </w:tc>
        <w:tc>
          <w:tcPr>
            <w:tcW w:w="2831" w:type="dxa"/>
          </w:tcPr>
          <w:p>
            <w:pPr>
              <w:pStyle w:val="Normal"/>
            </w:pPr>
            <w:r>
              <w:rPr>
                <w:szCs w:val="22"/>
                <w:lang w:val="en-US" w:eastAsia="en-US" w:bidi="ar-SA"/>
                <w:rFonts w:ascii="Times New Roman" w:hAnsi="Times New Roman" w:eastAsia="Times New Roman" w:cs="Times New Roman"/>
                <w:sz w:val="24"/>
              </w:rPr>
              <w:t>Partial difficulty adaptation in Stage 2; complete principle untested</w:t>
            </w:r>
          </w:p>
        </w:tc>
      </w:tr>
    </w:tbl>
    <w:p>
      <w:pPr>
        <w:pStyle w:val="Normal"/>
        <w:spacing w:after="40"/>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preregistered, within-cohort trial with common follow-up, process measures and implementation-fidelity checks.</w:t>
      </w:r>
    </w:p>
    <w:p>
      <w:pPr>
        <w:pStyle w:val="Heading2"/>
      </w:pPr>
      <w:bookmarkStart w:id="115" w:name="_Toc232024605"/>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7.5 Prototype Stack: Engineering-Actionable Implementation</w:t>
      </w:r>
      <w:bookmarkEnd w:id="115"/>
    </w:p>
    <w:p>
      <w:pPr>
        <w:pStyle w:val="Normal"/>
        <w:jc w:val="both"/>
      </w:pPr>
      <w:r>
        <w:rPr>
          <w:szCs w:val="22"/>
          <w:lang w:val="en-US" w:eastAsia="en-US" w:bidi="ar-SA"/>
          <w:rFonts w:ascii="Times New Roman" w:hAnsi="Times New Roman" w:eastAsia="Times New Roman" w:cs="Times New Roman"/>
          <w:sz w:val="24"/>
        </w:rPr>
        <w:t>This section specifies the technical and protocol stack required to deploy the adaptive-learning framework on existing FRA infrastructure. The stack extends the Stage-2 five-layer architecture with two additional protocol layers (User-Facing Trajectory Layer and Staff Coaching Protocol Layer) and one new instrumentation layer (Adaptive-Learning Telemetry Layer).</w:t>
      </w:r>
    </w:p>
    <w:p>
      <w:pPr>
        <w:pStyle w:val="Heading3"/>
      </w:pPr>
      <w:bookmarkStart w:id="116" w:name="_Toc23202460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7.5.1 Reference Stack</w:t>
      </w:r>
      <w:bookmarkEnd w:id="116"/>
    </w:p>
    <w:p>
      <w:pPr>
        <w:pStyle w:val="FigureCaption"/>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0" w:type="auto"/>
        <w:jc w:val="center"/>
        <w:tblLook w:val="04A0" w:firstRow="1" w:lastRow="0" w:firstColumn="1" w:lastColumn="0" w:noHBand="0" w:noVBand="1"/>
      </w:tblPr>
      <w:tblGrid>
        <w:gridCol w:w="1559"/>
        <w:gridCol w:w="3113"/>
        <w:gridCol w:w="1698"/>
        <w:gridCol w:w="2125"/>
      </w:tblGrid>
      <w:tr w:rsidR="0062437E" w14:paraId="092B7E61" w14:textId="77777777" w:rsidTr="00FD5D21">
        <w:trPr>
          <w:jc w:val="center"/>
        </w:trPr>
        <w:tc>
          <w:tcPr>
            <w:tcW w:w="1560" w:type="dxa"/>
          </w:tcPr>
          <w:p>
            <w:pPr>
              <w:pStyle w:val="Normal"/>
            </w:pPr>
            <w:r>
              <w:rPr>
                <w:szCs w:val="22"/>
                <w:lang w:val="en-US" w:eastAsia="en-US" w:bidi="ar-SA"/>
                <w:rFonts w:ascii="Times New Roman" w:hAnsi="Times New Roman" w:eastAsia="Times New Roman" w:cs="Times New Roman"/>
                <w:sz w:val="20"/>
              </w:rPr>
              <w:t>Layer</w:t>
            </w:r>
          </w:p>
        </w:tc>
        <w:tc>
          <w:tcPr>
            <w:tcW w:w="3118" w:type="dxa"/>
          </w:tcPr>
          <w:p>
            <w:pPr>
              <w:pStyle w:val="Normal"/>
            </w:pPr>
            <w:r>
              <w:rPr>
                <w:b/>
                <w:sz w:val="20"/>
                <w:szCs w:val="22"/>
                <w:lang w:val="en-US" w:eastAsia="en-US" w:bidi="ar-SA"/>
                <w:rFonts w:ascii="Times New Roman" w:hAnsi="Times New Roman" w:eastAsia="Times New Roman" w:cs="Times New Roman"/>
              </w:rPr>
              <w:t>Component</w:t>
            </w:r>
          </w:p>
        </w:tc>
        <w:tc>
          <w:tcPr>
            <w:tcW w:w="1700" w:type="dxa"/>
          </w:tcPr>
          <w:p>
            <w:pPr>
              <w:pStyle w:val="Normal"/>
            </w:pPr>
            <w:r>
              <w:rPr>
                <w:b/>
                <w:sz w:val="20"/>
                <w:szCs w:val="22"/>
                <w:lang w:val="en-US" w:eastAsia="en-US" w:bidi="ar-SA"/>
                <w:rFonts w:ascii="Times New Roman" w:hAnsi="Times New Roman" w:eastAsia="Times New Roman" w:cs="Times New Roman"/>
              </w:rPr>
              <w:t>The adaptive-learning framework principle served</w:t>
            </w:r>
          </w:p>
        </w:tc>
        <w:tc>
          <w:tcPr>
            <w:tcW w:w="2126" w:type="dxa"/>
          </w:tcPr>
          <w:p>
            <w:pPr>
              <w:pStyle w:val="Normal"/>
            </w:pPr>
            <w:r>
              <w:rPr>
                <w:b/>
                <w:sz w:val="20"/>
                <w:szCs w:val="22"/>
                <w:lang w:val="en-US" w:eastAsia="en-US" w:bidi="ar-SA"/>
                <w:rFonts w:ascii="Times New Roman" w:hAnsi="Times New Roman" w:eastAsia="Times New Roman" w:cs="Times New Roman"/>
              </w:rPr>
              <w:t>Implementation note</w:t>
            </w:r>
          </w:p>
        </w:tc>
      </w:tr>
      <w:tr w:rsidR="0062437E" w14:paraId="15D407AF"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L0 Sensor</w:t>
            </w:r>
          </w:p>
        </w:tc>
        <w:tc>
          <w:tcPr>
            <w:tcW w:w="3118" w:type="dxa"/>
          </w:tcPr>
          <w:p>
            <w:pPr>
              <w:pStyle w:val="Normal"/>
            </w:pPr>
            <w:r>
              <w:rPr>
                <w:sz w:val="20"/>
                <w:szCs w:val="22"/>
                <w:lang w:val="en-US" w:eastAsia="en-US" w:bidi="ar-SA"/>
                <w:rFonts w:ascii="Times New Roman" w:hAnsi="Times New Roman" w:eastAsia="Times New Roman" w:cs="Times New Roman"/>
              </w:rPr>
              <w:t>InBody pressure panel; same hardware as Stage 2 and 3</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Existing capital; no replacement cost</w:t>
            </w:r>
          </w:p>
        </w:tc>
      </w:tr>
      <w:tr w:rsidR="0062437E" w14:paraId="4A27D47E"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L1 Game Engine</w:t>
            </w:r>
          </w:p>
        </w:tc>
        <w:tc>
          <w:tcPr>
            <w:tcW w:w="3118" w:type="dxa"/>
          </w:tcPr>
          <w:p>
            <w:pPr>
              <w:pStyle w:val="Normal"/>
            </w:pPr>
            <w:r>
              <w:rPr>
                <w:sz w:val="20"/>
                <w:szCs w:val="22"/>
                <w:lang w:val="en-US" w:eastAsia="en-US" w:bidi="ar-SA"/>
                <w:rFonts w:ascii="Times New Roman" w:hAnsi="Times New Roman" w:eastAsia="Times New Roman" w:cs="Times New Roman"/>
              </w:rPr>
              <w:t>Pygame skiing task generated through Anthropic Claude Code</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Prompt-driven regeneration; clinician-editable difficulty curves</w:t>
            </w:r>
          </w:p>
        </w:tc>
      </w:tr>
      <w:tr w:rsidR="0062437E" w14:paraId="6EA12EA5"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L2 AI Adaptation</w:t>
            </w:r>
          </w:p>
        </w:tc>
        <w:tc>
          <w:tcPr>
            <w:tcW w:w="3118" w:type="dxa"/>
          </w:tcPr>
          <w:p>
            <w:pPr>
              <w:pStyle w:val="Normal"/>
            </w:pPr>
            <w:r>
              <w:rPr>
                <w:sz w:val="20"/>
                <w:szCs w:val="22"/>
                <w:lang w:val="en-US" w:eastAsia="en-US" w:bidi="ar-SA"/>
                <w:rFonts w:ascii="Times New Roman" w:hAnsi="Times New Roman" w:eastAsia="Times New Roman" w:cs="Times New Roman"/>
              </w:rPr>
              <w:t>Claude API + LangChain runtime; obstacle density, speed, feedback affect</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Extended from difficulty-only to feedback-affect adaptation</w:t>
            </w:r>
          </w:p>
        </w:tc>
      </w:tr>
      <w:tr w:rsidR="0062437E" w14:paraId="09D406A7"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L3 Logging</w:t>
            </w:r>
          </w:p>
        </w:tc>
        <w:tc>
          <w:tcPr>
            <w:tcW w:w="3118" w:type="dxa"/>
          </w:tcPr>
          <w:p>
            <w:pPr>
              <w:pStyle w:val="Normal"/>
            </w:pPr>
            <w:r>
              <w:rPr>
                <w:sz w:val="20"/>
                <w:szCs w:val="22"/>
                <w:lang w:val="en-US" w:eastAsia="en-US" w:bidi="ar-SA"/>
                <w:rFonts w:ascii="Times New Roman" w:hAnsi="Times New Roman" w:eastAsia="Times New Roman" w:cs="Times New Roman"/>
              </w:rPr>
              <w:t>Cycle counts, COP traces, session affect, dropout flags</w:t>
            </w:r>
          </w:p>
        </w:tc>
        <w:tc>
          <w:tcPr>
            <w:tcW w:w="1700" w:type="dxa"/>
          </w:tcPr>
          <w:p>
            <w:pPr>
              <w:pStyle w:val="Normal"/>
            </w:pPr>
            <w:r>
              <w:rPr>
                <w:sz w:val="20"/>
                <w:szCs w:val="22"/>
                <w:lang w:val="en-US" w:eastAsia="en-US" w:bidi="ar-SA"/>
                <w:rFonts w:ascii="Times New Roman" w:hAnsi="Times New Roman" w:eastAsia="Times New Roman" w:cs="Times New Roman"/>
              </w:rPr>
              <w:t>P2/P3</w:t>
            </w:r>
          </w:p>
        </w:tc>
        <w:tc>
          <w:tcPr>
            <w:tcW w:w="2126" w:type="dxa"/>
          </w:tcPr>
          <w:p>
            <w:pPr>
              <w:pStyle w:val="Normal"/>
            </w:pPr>
            <w:r>
              <w:rPr>
                <w:sz w:val="20"/>
                <w:szCs w:val="22"/>
                <w:lang w:val="en-US" w:eastAsia="en-US" w:bidi="ar-SA"/>
                <w:rFonts w:ascii="Times New Roman" w:hAnsi="Times New Roman" w:eastAsia="Times New Roman" w:cs="Times New Roman"/>
              </w:rPr>
              <w:t>Existing</w:t>
            </w:r>
          </w:p>
        </w:tc>
      </w:tr>
      <w:tr w:rsidR="0062437E" w14:paraId="559E62E6"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L4 Clinical Output</w:t>
            </w:r>
          </w:p>
        </w:tc>
        <w:tc>
          <w:tcPr>
            <w:tcW w:w="3118" w:type="dxa"/>
          </w:tcPr>
          <w:p>
            <w:pPr>
              <w:pStyle w:val="Normal"/>
            </w:pPr>
            <w:r>
              <w:rPr>
                <w:sz w:val="20"/>
                <w:szCs w:val="22"/>
                <w:lang w:val="en-US" w:eastAsia="en-US" w:bidi="ar-SA"/>
                <w:rFonts w:ascii="Times New Roman" w:hAnsi="Times New Roman" w:eastAsia="Times New Roman" w:cs="Times New Roman"/>
              </w:rPr>
              <w:t>Pre/post FRA indices for clinician review (background)</w:t>
            </w:r>
          </w:p>
        </w:tc>
        <w:tc>
          <w:tcPr>
            <w:tcW w:w="1700" w:type="dxa"/>
          </w:tcPr>
          <w:p>
            <w:pPr>
              <w:pStyle w:val="Normal"/>
            </w:pPr>
            <w:r>
              <w:rPr>
                <w:sz w:val="20"/>
                <w:szCs w:val="22"/>
                <w:lang w:val="en-US" w:eastAsia="en-US" w:bidi="ar-SA"/>
                <w:rFonts w:ascii="Times New Roman" w:hAnsi="Times New Roman" w:eastAsia="Times New Roman" w:cs="Times New Roman"/>
              </w:rPr>
              <w:t>—</w:t>
            </w:r>
          </w:p>
        </w:tc>
        <w:tc>
          <w:tcPr>
            <w:tcW w:w="2126" w:type="dxa"/>
          </w:tcPr>
          <w:p>
            <w:pPr>
              <w:pStyle w:val="Normal"/>
            </w:pPr>
            <w:r>
              <w:rPr>
                <w:sz w:val="20"/>
                <w:szCs w:val="22"/>
                <w:lang w:val="en-US" w:eastAsia="en-US" w:bidi="ar-SA"/>
                <w:rFonts w:ascii="Times New Roman" w:hAnsi="Times New Roman" w:eastAsia="Times New Roman" w:cs="Times New Roman"/>
              </w:rPr>
              <w:t>Hidden from participant under P1 frame</w:t>
            </w:r>
          </w:p>
        </w:tc>
      </w:tr>
      <w:tr w:rsidR="0062437E" w14:paraId="4C2EBEAE"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L5 User-Facing Trajectory</w:t>
            </w:r>
          </w:p>
        </w:tc>
        <w:tc>
          <w:tcPr>
            <w:tcW w:w="3118" w:type="dxa"/>
          </w:tcPr>
          <w:p>
            <w:pPr>
              <w:pStyle w:val="Normal"/>
            </w:pPr>
            <w:r>
              <w:rPr>
                <w:sz w:val="20"/>
                <w:szCs w:val="22"/>
                <w:lang w:val="en-US" w:eastAsia="en-US" w:bidi="ar-SA"/>
                <w:rFonts w:ascii="Times New Roman" w:hAnsi="Times New Roman" w:eastAsia="Times New Roman" w:cs="Times New Roman"/>
              </w:rPr>
              <w:t>Progress visualisation that emphasises movement; past sessions framed as steps</w:t>
            </w:r>
          </w:p>
        </w:tc>
        <w:tc>
          <w:tcPr>
            <w:tcW w:w="1700" w:type="dxa"/>
          </w:tcPr>
          <w:p>
            <w:pPr>
              <w:pStyle w:val="Normal"/>
            </w:pPr>
            <w:r>
              <w:rPr>
                <w:sz w:val="20"/>
                <w:szCs w:val="22"/>
                <w:lang w:val="en-US" w:eastAsia="en-US" w:bidi="ar-SA"/>
                <w:rFonts w:ascii="Times New Roman" w:hAnsi="Times New Roman" w:eastAsia="Times New Roman" w:cs="Times New Roman"/>
              </w:rPr>
              <w:t>P2</w:t>
            </w:r>
          </w:p>
        </w:tc>
        <w:tc>
          <w:tcPr>
            <w:tcW w:w="2126" w:type="dxa"/>
          </w:tcPr>
          <w:p>
            <w:pPr>
              <w:pStyle w:val="Normal"/>
            </w:pPr>
            <w:r>
              <w:rPr>
                <w:sz w:val="20"/>
                <w:szCs w:val="22"/>
                <w:lang w:val="en-US" w:eastAsia="en-US" w:bidi="ar-SA"/>
                <w:rFonts w:ascii="Times New Roman" w:hAnsi="Times New Roman" w:eastAsia="Times New Roman" w:cs="Times New Roman"/>
              </w:rPr>
              <w:t>New; HTML overlay or device companion screen; no clinical numbers exposed</w:t>
            </w:r>
          </w:p>
        </w:tc>
      </w:tr>
      <w:tr w:rsidR="0062437E" w14:paraId="0C1FEED8"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L6 Staff Coaching Protocol</w:t>
            </w:r>
          </w:p>
        </w:tc>
        <w:tc>
          <w:tcPr>
            <w:tcW w:w="3118" w:type="dxa"/>
          </w:tcPr>
          <w:p>
            <w:pPr>
              <w:pStyle w:val="Normal"/>
            </w:pPr>
            <w:r>
              <w:rPr>
                <w:sz w:val="20"/>
                <w:szCs w:val="22"/>
                <w:lang w:val="en-US" w:eastAsia="en-US" w:bidi="ar-SA"/>
                <w:rFonts w:ascii="Times New Roman" w:hAnsi="Times New Roman" w:eastAsia="Times New Roman" w:cs="Times New Roman"/>
              </w:rPr>
              <w:t>Mastery-language scripts; reframing scripts; intervention triggers based on L2 telemetry</w:t>
            </w:r>
          </w:p>
        </w:tc>
        <w:tc>
          <w:tcPr>
            <w:tcW w:w="1700" w:type="dxa"/>
          </w:tcPr>
          <w:p>
            <w:pPr>
              <w:pStyle w:val="Normal"/>
            </w:pPr>
            <w:r>
              <w:rPr>
                <w:sz w:val="20"/>
                <w:szCs w:val="22"/>
                <w:lang w:val="en-US" w:eastAsia="en-US" w:bidi="ar-SA"/>
                <w:rFonts w:ascii="Times New Roman" w:hAnsi="Times New Roman" w:eastAsia="Times New Roman" w:cs="Times New Roman"/>
              </w:rPr>
              <w:t>P1/P2</w:t>
            </w:r>
          </w:p>
        </w:tc>
        <w:tc>
          <w:tcPr>
            <w:tcW w:w="2126" w:type="dxa"/>
          </w:tcPr>
          <w:p>
            <w:pPr>
              <w:pStyle w:val="Normal"/>
            </w:pPr>
            <w:r>
              <w:rPr>
                <w:sz w:val="20"/>
                <w:szCs w:val="22"/>
                <w:lang w:val="en-US" w:eastAsia="en-US" w:bidi="ar-SA"/>
                <w:rFonts w:ascii="Times New Roman" w:hAnsi="Times New Roman" w:eastAsia="Times New Roman" w:cs="Times New Roman"/>
              </w:rPr>
              <w:t>New; staff training day required; checklists and language cards</w:t>
            </w:r>
          </w:p>
        </w:tc>
      </w:tr>
      <w:tr w:rsidR="0062437E" w14:paraId="05267031"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L7 Adaptive-Learning Telemetry</w:t>
            </w:r>
          </w:p>
        </w:tc>
        <w:tc>
          <w:tcPr>
            <w:tcW w:w="3118" w:type="dxa"/>
          </w:tcPr>
          <w:p>
            <w:pPr>
              <w:pStyle w:val="Normal"/>
            </w:pPr>
            <w:r>
              <w:rPr>
                <w:sz w:val="20"/>
                <w:szCs w:val="22"/>
                <w:lang w:val="en-US" w:eastAsia="en-US" w:bidi="ar-SA"/>
                <w:rFonts w:ascii="Times New Roman" w:hAnsi="Times New Roman" w:eastAsia="Times New Roman" w:cs="Times New Roman"/>
              </w:rPr>
              <w:t>Frame-indicator log; account-closure binary; coaching-trigger log; pre/post entropy measure</w:t>
            </w:r>
          </w:p>
        </w:tc>
        <w:tc>
          <w:tcPr>
            <w:tcW w:w="1700" w:type="dxa"/>
          </w:tcPr>
          <w:p>
            <w:pPr>
              <w:pStyle w:val="Normal"/>
            </w:pPr>
            <w:r>
              <w:rPr>
                <w:sz w:val="20"/>
                <w:szCs w:val="22"/>
                <w:lang w:val="en-US" w:eastAsia="en-US" w:bidi="ar-SA"/>
                <w:rFonts w:ascii="Times New Roman" w:hAnsi="Times New Roman" w:eastAsia="Times New Roman" w:cs="Times New Roman"/>
              </w:rPr>
              <w:t>—</w:t>
            </w:r>
          </w:p>
        </w:tc>
        <w:tc>
          <w:tcPr>
            <w:tcW w:w="2126" w:type="dxa"/>
          </w:tcPr>
          <w:p>
            <w:pPr>
              <w:pStyle w:val="Normal"/>
            </w:pPr>
            <w:r>
              <w:rPr>
                <w:sz w:val="20"/>
                <w:szCs w:val="22"/>
                <w:lang w:val="en-US" w:eastAsia="en-US" w:bidi="ar-SA"/>
                <w:rFonts w:ascii="Times New Roman" w:hAnsi="Times New Roman" w:eastAsia="Times New Roman" w:cs="Times New Roman"/>
              </w:rPr>
              <w:t>New; required for the model-comparison plan in §6.10</w:t>
            </w:r>
          </w:p>
        </w:tc>
      </w:tr>
    </w:tbl>
    <w:p>
      <w:pPr>
        <w:pStyle w:val="Normal"/>
        <w:spacing w:after="40"/>
      </w:pPr>
    </w:p>
    <w:p>
      <w:pPr>
        <w:pStyle w:val="Normal"/>
        <w:keepNext/>
        <w:spacing w:before="160" w:after="40"/>
        <w:jc w:val="center"/>
      </w:pPr>
      <w:r>
        <w:drawing>
          <wp:inline>
            <wp:extent cx="4937760" cy="3347357"/>
            <wp:docPr id="24" name="Picture 24"/>
            <wp:cNvGraphicFramePr>
              <a:graphicFrameLocks noChangeAspect="1"/>
            </wp:cNvGraphicFramePr>
            <a:graphic>
              <a:graphicData uri="http://schemas.openxmlformats.org/drawingml/2006/picture">
                <pic:pic>
                  <pic:nvPicPr>
                    <pic:cNvPr id="0" name="fig_7_1.png"/>
                    <pic:cNvPicPr/>
                  </pic:nvPicPr>
                  <pic:blipFill>
                    <a:blip r:embed="rId33"/>
                    <a:stretch>
                      <a:fillRect/>
                    </a:stretch>
                  </pic:blipFill>
                  <pic:spPr>
                    <a:xfrm>
                      <a:off x="0" y="0"/>
                      <a:ext cx="4937760" cy="3347357"/>
                    </a:xfrm>
                    <a:prstGeom prst="rect"/>
                  </pic:spPr>
                </pic:pic>
              </a:graphicData>
            </a:graphic>
          </wp:inline>
        </w:drawing>
      </w:r>
    </w:p>
    <w:p>
      <w:pPr>
        <w:pStyle w:val="FigureCaption"/>
        <w:jc w:val="center"/>
      </w:pPr>
      <w:bookmarkStart w:id="118" w:name="_Toc232024692"/>
      <w:r>
        <w:rPr>
          <w:sz w:val="24"/>
          <w:szCs w:val="22"/>
          <w:lang w:val="en-US" w:eastAsia="en-US" w:bidi="ar-SA"/>
          <w:rFonts w:ascii="Times New Roman" w:hAnsi="Times New Roman" w:eastAsia="Times New Roman" w:cs="Times New Roman"/>
          <w:i/>
          <w:b/>
        </w:rPr>
        <w:t>Figure 7.1. adaptive-learning reference stack: existing five-layer FRA architecture (L0–L4) extended with three additional layers (L5 User-Facing Trajectory; L6 Staff Coaching Protocol; L7 Adaptive-Learning Telemetry).</w:t>
      </w:r>
      <w:bookmarkEnd w:id="118"/>
    </w:p>
    <w:p>
      <w:pPr>
        <w:pStyle w:val="Heading3"/>
      </w:pPr>
      <w:bookmarkStart w:id="119" w:name="_Toc23202460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7.5.2 Trajectory Visualisation Specification</w:t>
      </w:r>
      <w:bookmarkEnd w:id="119"/>
    </w:p>
    <w:p>
      <w:pPr>
        <w:pStyle w:val="Normal"/>
        <w:jc w:val="both"/>
      </w:pPr>
      <w:r>
        <w:rPr>
          <w:szCs w:val="22"/>
          <w:lang w:val="en-US" w:eastAsia="en-US" w:bidi="ar-SA"/>
          <w:rFonts w:ascii="Times New Roman" w:hAnsi="Times New Roman" w:eastAsia="Times New Roman" w:cs="Times New Roman"/>
          <w:sz w:val="24"/>
        </w:rPr>
        <w:t>The proposed user-facing trajectory affordance (L5) makes progress visible without defaulting to diagnostic rankings. A session-by-session display can show completed sessions, recent change and the next achievable goal. Adverse events should remain visible as part of the record rather than being disguised; the design change is interpretive context, not concealment. No peer rank is required, and clinical information should remain available through an ethically disclosed pathway when relevant. Usability testing should assess comprehension, perceived honesty, competence support and unintended minimisation of risk.</w:t>
      </w:r>
    </w:p>
    <w:p>
      <w:pPr>
        <w:pStyle w:val="Heading3"/>
      </w:pPr>
      <w:bookmarkStart w:id="120" w:name="_Toc23202460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staff coaching protocol (L6) operationalises trajectory framing through an opening explanation, in-session feedback and a closing summary. The opening script presents the activity accurately as a coordination game that may also contribute to balance research or assessment where applicable. In-session feedback uses specific, process-focused language rather than global praise or deficit labels. The closing summary identifies what changed, what remains challenging and the next step. Scripts must be standardised, culturally adapted and audited for fidelity; coaching should not pressure a participant who chooses not to continue. The expert consultation of §6.8A independently supports this layer from community practice: in Dr Yuan's programmes, a coach or assistant who leads the participant past a failure is what converts failure-linked dropout into continued participation, and partnering and group formats further reduce dropout — grounds for evaluating a group-deployment variant of this protocol in the §8.8 study.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7.5A One Architecture: Phenomenon, Principles, Engine</w:t>
      </w:r>
    </w:p>
    <w:p>
      <w:pPr>
        <w:pStyle w:val="Normal"/>
      </w:pPr>
      <w:r>
        <w:rPr>
          <w:szCs w:val="22"/>
          <w:lang w:val="en-US" w:eastAsia="en-US" w:bidi="ar-SA"/>
          <w:rFonts w:ascii="Times New Roman" w:hAnsi="Times New Roman" w:eastAsia="Times New Roman" w:cs="Times New Roman"/>
          <w:sz w:val="24"/>
        </w:rPr>
        <w:t>The programme's outputs are best read as a single behavioural-engineering architecture rather than as three related ideas. FIAS is the phenomenon layer: it names and explains why older users disengage after failure — a post-contact behaviour driven by identity-level appraisal, characterised across Chapters 4–6. The adaptive-learning framework is the principle layer: it states how systems should be redesigned so that the disengagement is not produced, through identity disentanglement, trajectory installation and adaptive calibration (§7.4). The dynamic game-state architecture of §5.3.10 is the engine layer: it operationalises the principles in real time, monitoring the live performance-state vector and selecting among non-terminal states within pre-specified safety limits, so that the design response arrives at the moment the phenomenon would otherwise begin (§7.6A).</w:t>
      </w:r>
    </w:p>
    <w:p>
      <w:pPr>
        <w:pStyle w:val="Normal"/>
      </w:pPr>
      <w:r>
        <w:rPr>
          <w:szCs w:val="22"/>
          <w:lang w:val="en-US" w:eastAsia="en-US" w:bidi="ar-SA"/>
          <w:rFonts w:ascii="Times New Roman" w:hAnsi="Times New Roman" w:eastAsia="Times New Roman" w:cs="Times New Roman"/>
          <w:sz w:val="24"/>
        </w:rPr>
        <w:t>The evidence supports each layer to a different degree, and the architecture inherits those gradations rather than smoothing them over. The phenomenon layer rests on the observed Stage-1 and Stage-2 record, and its frame-sensitivity is indicated — not isolated — by the Stage-3 comparison. The principle layer is derived from that record and from the learning-theory literature, and has not yet been evaluated as a package. The engine layer is an implemented specification whose behavioural effect is untested; its evaluation is pre-specified in §8.8. Stating the three as one architecture does not strengthen any single claim — it fixes where each claim lives, and it is what turns a set of findings into a design theory an engineering team can build against.</w:t>
      </w:r>
    </w:p>
    <w:p>
      <w:pPr>
        <w:pStyle w:val="Heading2"/>
      </w:pPr>
      <w:bookmarkStart w:id="121" w:name="_Toc23202460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7.6 Applied Case Studies</w:t>
      </w:r>
      <w:bookmarkEnd w:id="121"/>
    </w:p>
    <w:p>
      <w:pPr>
        <w:pStyle w:val="Heading3"/>
      </w:pPr>
      <w:bookmarkStart w:id="122" w:name="_Toc23202461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7.6A Dynamic Game States as a Loss-Free Mechanic: Reflecting the Literature-Review Knowledge Gaps</w:t>
      </w:r>
      <w:bookmarkEnd w:id="126"/>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 xml:space="preserve">Two cautions belong in the discussion. First, the §5.3.10 architecture is a design specification offered as a secondary contribution; the empirical evidence that anchors this thesis is the FIAS coupling effect and the Stage-3 decoupling result, not a controlled comparison of state-repertoire variants. The natural empirical test of the dynamic-state design is the FRA Reaction Mode case study set out in §7.6.1, in which a five-state policy can be deployed on the existing Stage-3 platform and compared, on a common protocol, </w:t>
        <w:t>against a single-state Standard Run. Second, the agentic-AI controller at L2 inherits the boundary conditions of §7.7: an over-aggressive Recovery Run policy collapses the trajectory by removing challenge, an under-conservative Mastery Run policy reintroduces fail-states by another route, and an inconsistent Story-Bridge or Reframe Pause script breaks the frame-congruence property on which L6 depends. The instruction pattern by which Claude Code generates the policy must therefore include the boundary tests as part of the specification, not as a downstream check; this is how the §5.3.9 design-time workflow is extended into a runtime governance pattern.</w:t>
      </w:r>
    </w:p>
    <w:p>
      <w:pPr>
        <w:pStyle w:val="Heading2"/>
      </w:pPr>
      <w:bookmarkStart w:id="127" w:name="_Toc232024615"/>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Three boundary conditions warrant explicit attention. First, over-adaptation: if the adaptive layer reduces challenge so far that failure is impossible, the trajectory loses its meaning and the user disengages from boredom. Second, frame congruence: if the trajectory frame is presented inconsistently — coordination on the screen, fall risk in the staff member's introduction — the user's mental accounting reverts to the dominant framing. Third, cultural fit: trajectory framing presupposes a self-narrative that allows the self to be on a curve; in cultural settings where stoic or collectivist self-narratives dominate, the framing may need adjustment, and Chapter 9 §9.10 identifies cross-cultural replication as the natural test of this boundary condition.</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t>executed, the generalisability of the framework beyond Chinese-cultural settings is an argued expectation, not a demonstrated result.</w:t>
      </w:r>
    </w:p>
    <w:p>
      <w:pPr>
        <w:pStyle w:val="Heading2"/>
      </w:pPr>
      <w:bookmarkStart w:id="128" w:name="_Toc232024616"/>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three adaptive-learning principles are intended to operate in sequence but are not yet known to be jointly sufficient. Principle 1 reduces participant-facing coupling cues. Principle 2 adds a credible learning trajectory. Principle 3 adapts challenge, feedback and pacing over time. Future evaluation should use a factorial or staged design where feasible, because a package-only trial may show effectiveness without identifying which component is necessary, sufficient or potentially harmful. In the terms of the discovery, P1 is the precondition — it clears the frame, and it is the only principle with field evidence behind it (Stage 3). P2 and P3 together are the adaptive-learning core: the visible curve and the calibration that keeps the user on it. The factorial design matters precisely because the core has not yet been tested with the precondition in place.</w:t>
      </w:r>
    </w:p>
    <w:p>
      <w:pPr>
        <w:pStyle w:val="Heading2"/>
      </w:pPr>
      <w:bookmarkStart w:id="129" w:name="_Toc23202461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7.9 Adaptive Learning as Continuous Improvement: Closing the Loop to the EngD Topic</w:t>
      </w:r>
      <w:bookmarkEnd w:id="129"/>
    </w:p>
    <w:p>
      <w:pPr>
        <w:pStyle w:val="Normal"/>
        <w:jc w:val="both"/>
      </w:pPr>
      <w:r>
        <w:rPr>
          <w:szCs w:val="22"/>
          <w:lang w:val="en-US" w:eastAsia="en-US" w:bidi="ar-SA"/>
          <w:rFonts w:ascii="Times New Roman" w:hAnsi="Times New Roman" w:eastAsia="Times New Roman" w:cs="Times New Roman"/>
          <w:sz w:val="24"/>
        </w:rPr>
        <w:t>The EngD programme topic is gamification as a proactive approach for continuous improvement and innovation enhancement, and the adaptive-learning discovery is where the thesis and its topic become the same thing: adaptive learning is continuous improvement operating at the level of the individual user. Each session updates the challenge; each failure is information for the next iteration; the user's capability is the process being improved, with the user's own trajectory as the control chart. The same loop appears at two other levels of the programme — the researcher's action-research cycles (§3.1) and the artefact's AI-assisted build iterations (§5.3.9) — so the thesis practises at every level the principle it proposes for its users. The adaptive-learning framework connects the topic to the empirical programme by treating engagement as a dynamic process rather than a one-time adoption decision.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character distinguishes the proposal from remedial campaigns applied after non-use has become established. The intervention is placed at first contact and around the first adverse experience. The target is sustained, voluntary engagement rather than compliance. The current studies identify useful signals - failure timing, retry, return and stated intention - but a mature continuous-improvement programme should also track fatigue, perceived competence, burden, enjoyment, safety and reasons for non-return. The dynamic-state and instant-response extensions are future iterations whose value must be demonstrated rather than assumed.</w:t>
      </w:r>
    </w:p>
    <w:p>
      <w:pPr>
        <w:pStyle w:val="Normal"/>
        <w:jc w:val="both"/>
      </w:pPr>
      <w:r>
        <w:rPr>
          <w:szCs w:val="22"/>
          <w:lang w:val="en-US" w:eastAsia="en-US" w:bidi="ar-SA"/>
          <w:rFonts w:ascii="Times New Roman" w:hAnsi="Times New Roman" w:eastAsia="Times New Roman" w:cs="Times New Roman"/>
          <w:sz w:val="24"/>
        </w:rPr>
        <w:t xml:space="preserve">The unit of innovation is the interface between an existing technology and the person who decides whether to return. This makes the proposal attractive for deployment on installed hardware, but low hardware cost does not imply low implementation risk. Staff training, </w:t>
        <w:t>software validation, data governance, clinical disclosure, accessibility and cultural adaptation all contribute to cost and effectiveness. Cross-domain application should therefore be treated as a family of related design hypotheses, not as automatic generalisation from FRA.</w:t>
      </w:r>
    </w:p>
    <w:p>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never as assessment — a decoupled frame arrived at by commercial instinct; and the engagement scaffold is explicitly social, anticipating the group-dynamics mechanism raised in the §6.8A consultation. What the model does not contain is the layer this thesis contributes: GrandPad avoids threatening frames by carrying no clinical measurement at all, whereas the present programme concerns technologies that must measure while remaining bearable. The comparator therefore marks a boundary in the design space: engagement without clinical purpose is commercially solved; engagement with clinical purpose intact is the open problem the adaptive-learning framework addresses.</w:t>
      </w:r>
    </w:p>
    <w:p>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(§8.8),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r>
        <w:t>Read as a boundary case, the comparator also sharpens what commercial gerontechnology has so far left unaddressed, and locates this programme's contribution to gerontology as AI-enabled health technology arrives. Three omissions matter. First, the avoided middle: the market divides into clinical instruments that measure but are abandoned (the FRA of Chapter 4) and consumer platforms that engage but do not measure (the GrandPad class); the technologies that population ageing actually requires — instruments that assess fall risk, cognition and function, repeatedly and acceptably — sit in the middle that both poles avoid. Second, the missing failure model: GrandPad-class design treats disengagement as a usability and access problem and answers it by minimising occasions for failure; it carries no account of what an adverse result does to an older user's self-concept, because it never delivers one. Curated ease also caps challenge, and with it the mastery experiences on which learning and flow depend (Csikszentmihalyi, 1990; Vygotsky, 1978).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make individually calibrated challenge inexpensive to implement at scale — the enabling technology for the Chapter 7 framework — but the same wave is filling gerontechnology with continuous monitoring, risk scores and predictions: more verdicts about ageing bodies, delivered more often, to the population this thesis shows may respond to unfavourable verdicts by leaving permanently. Without a behavioural layer, AI-era gerontechnology risks industrialising the abandonment pattern documented here. The programme's contribution to gerontology is that layer: FIAS names the failure mode that verdict-bearing technology must design against; the Stage-3 frame-sensitivity evidence indicates where the leverage lies; and the adaptive-learning framework specifies how a measuring technology can remain bearable — challenge calibrated to the person, results presented as a trajectory, coaching absorbing the failure moment. The gamified FRA is the working demonstration that the middle ground is occupiable: one physical action that plays and measures, made returnable-to by design. In an AI decade, that is the difference between health technologies older adults live with and health technologies that fall silent (§8.6B). Figure 8.1 maps this design space.</w:t>
      </w:r>
    </w:p>
    <w:p>
      <w:r>
        <w:drawing>
          <wp:inline>
            <wp:extent cx="5120640" cy="3995517"/>
            <wp:docPr id="32" name="Picture 32"/>
            <wp:cNvGraphicFramePr>
              <a:graphicFrameLocks noChangeAspect="1"/>
            </wp:cNvGraphicFramePr>
            <a:graphic>
              <a:graphicData uri="http://schemas.openxmlformats.org/drawingml/2006/picture">
                <pic:pic>
                  <pic:nvPicPr>
                    <pic:cNvPr id="0" name="fig_8_1_design_spac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8.1. The gerontechnology design space. Commercial platforms of the GrandPad class achieve sustained engagement by carrying no clinical measurement; clinical instruments carry full measurement but are abandoned after adverse first experiences (Chapter 4). The programme's contribution occupies the upper right: the gamified FRA and the adaptive-learning framework specify how a technology can measure while remaining bearable and returnable-to for older users (Chapters 5-7, §8.6).</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i/>
        </w:rPr>
        <w:t>Chapter 8 Contributions, Alternative Explanations, Limitations and Ethics</w:t>
      </w:r>
      <w:bookmarkEnd w:id="130"/>
    </w:p>
    <w:p>
      <w:pPr>
        <w:pStyle w:val="Normal"/>
      </w:pPr>
      <w:r>
        <w:rPr>
          <w:szCs w:val="22"/>
          <w:lang w:val="en-US" w:eastAsia="en-US" w:bidi="ar-SA"/>
          <w:rFonts w:ascii="Times New Roman" w:hAnsi="Times New Roman" w:eastAsia="Times New Roman" w:cs="Times New Roman"/>
          <w:sz w:val="24"/>
        </w:rPr>
        <w:t>This chapter states the contributions in four distinct registers and is explicit about which is which, because the four answer to different tests. A scientific contribution is judged by whether it explains observed behaviour and survives attempts to refute it; an engineering contribution by whether a competent team can build from it; an industrial contribution by whether it changes a deployment decision; and a methodological contribution by whether other researchers can reuse the method. Table 8.0 maps the thesis's contributions onto the four registers and the sections that state them; the sections that follow then present each in the hierarchy the evidence supports.</w:t>
      </w:r>
    </w:p>
    <w:p>
      <w:pPr>
        <w:pStyle w:val="FigureCaption"/>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auto" w:w="0"/>
        <w:tblLook w:firstColumn="1" w:firstRow="1" w:lastColumn="0" w:lastRow="0" w:noHBand="0" w:noVBand="1" w:val="04A0"/>
      </w:tblPr>
      <w:tblGrid>
        <w:gridCol w:w="2835"/>
        <w:gridCol w:w="2835"/>
        <w:gridCol w:w="2835"/>
      </w:tblGrid>
      <w:tr>
        <w:tc>
          <w:tcPr>
            <w:tcW w:type="dxa" w:w="2835"/>
          </w:tcPr>
          <w:p>
            <w:pPr>
              <w:pStyle w:val="Normal"/>
            </w:pPr>
            <w:r>
              <w:rPr>
                <w:b/>
                <w:sz w:val="24"/>
                <w:szCs w:val="22"/>
                <w:lang w:val="en-US" w:eastAsia="en-US" w:bidi="ar-SA"/>
                <w:rFonts w:ascii="Times New Roman" w:hAnsi="Times New Roman" w:eastAsia="Times New Roman" w:cs="Times New Roman"/>
              </w:rPr>
              <w:t>Register</w:t>
            </w:r>
          </w:p>
        </w:tc>
        <w:tc>
          <w:tcPr>
            <w:tcW w:type="dxa" w:w="2835"/>
          </w:tcPr>
          <w:p>
            <w:pPr>
              <w:pStyle w:val="Normal"/>
            </w:pPr>
            <w:r>
              <w:rPr>
                <w:b/>
                <w:sz w:val="24"/>
                <w:szCs w:val="22"/>
                <w:lang w:val="en-US" w:eastAsia="en-US" w:bidi="ar-SA"/>
                <w:rFonts w:ascii="Times New Roman" w:hAnsi="Times New Roman" w:eastAsia="Times New Roman" w:cs="Times New Roman"/>
              </w:rPr>
              <w:t>Contribution</w:t>
            </w:r>
          </w:p>
        </w:tc>
        <w:tc>
          <w:tcPr>
            <w:tcW w:type="dxa" w:w="2835"/>
          </w:tcPr>
          <w:p>
            <w:pPr>
              <w:pStyle w:val="Normal"/>
            </w:pPr>
            <w:r>
              <w:rPr>
                <w:b/>
                <w:sz w:val="24"/>
                <w:szCs w:val="22"/>
                <w:lang w:val="en-US" w:eastAsia="en-US" w:bidi="ar-SA"/>
                <w:rFonts w:ascii="Times New Roman" w:hAnsi="Times New Roman" w:eastAsia="Times New Roman" w:cs="Times New Roman"/>
              </w:rPr>
              <w:t>Stated in</w:t>
            </w:r>
          </w:p>
        </w:tc>
      </w:tr>
      <w:tr>
        <w:tc>
          <w:tcPr>
            <w:tcW w:type="dxa" w:w="2835"/>
          </w:tcPr>
          <w:p>
            <w:pPr>
              <w:pStyle w:val="Normal"/>
            </w:pPr>
            <w:r>
              <w:rPr>
                <w:sz w:val="24"/>
                <w:szCs w:val="22"/>
                <w:lang w:val="en-US" w:eastAsia="en-US" w:bidi="ar-SA"/>
                <w:rFonts w:ascii="Times New Roman" w:hAnsi="Times New Roman" w:eastAsia="Times New Roman" w:cs="Times New Roman"/>
              </w:rPr>
              <w:t>Scientific</w:t>
            </w:r>
          </w:p>
        </w:tc>
        <w:tc>
          <w:tcPr>
            <w:tcW w:type="dxa" w:w="2835"/>
          </w:tcPr>
          <w:p>
            <w:pPr>
              <w:pStyle w:val="Normal"/>
            </w:pPr>
            <w:r>
              <w:rPr>
                <w:sz w:val="24"/>
                <w:szCs w:val="22"/>
                <w:lang w:val="en-US" w:eastAsia="en-US" w:bidi="ar-SA"/>
                <w:rFonts w:ascii="Times New Roman" w:hAnsi="Times New Roman" w:eastAsia="Times New Roman" w:cs="Times New Roman"/>
              </w:rPr>
              <w:t>FIAS as a provisional behavioural construct; the coupling boundary condition for gamification theory; the competing-appraisal account (endowment protection versus learning trajectory)</w:t>
            </w:r>
          </w:p>
        </w:tc>
        <w:tc>
          <w:tcPr>
            <w:tcW w:type="dxa" w:w="2835"/>
          </w:tcPr>
          <w:p>
            <w:pPr>
              <w:pStyle w:val="Normal"/>
            </w:pPr>
            <w:r>
              <w:rPr>
                <w:sz w:val="24"/>
                <w:szCs w:val="22"/>
                <w:lang w:val="en-US" w:eastAsia="en-US" w:bidi="ar-SA"/>
                <w:rFonts w:ascii="Times New Roman" w:hAnsi="Times New Roman" w:eastAsia="Times New Roman" w:cs="Times New Roman"/>
              </w:rPr>
              <w:t>§8.1, §8.3; Chs 2, 9</w:t>
            </w:r>
          </w:p>
        </w:tc>
      </w:tr>
      <w:tr>
        <w:tc>
          <w:tcPr>
            <w:tcW w:type="dxa" w:w="2835"/>
          </w:tcPr>
          <w:p>
            <w:pPr>
              <w:pStyle w:val="Normal"/>
            </w:pPr>
            <w:r>
              <w:rPr>
                <w:sz w:val="24"/>
                <w:szCs w:val="22"/>
                <w:lang w:val="en-US" w:eastAsia="en-US" w:bidi="ar-SA"/>
                <w:rFonts w:ascii="Times New Roman" w:hAnsi="Times New Roman" w:eastAsia="Times New Roman" w:cs="Times New Roman"/>
              </w:rPr>
              <w:t>Engineering</w:t>
            </w:r>
          </w:p>
        </w:tc>
        <w:tc>
          <w:tcPr>
            <w:tcW w:type="dxa" w:w="2835"/>
          </w:tcPr>
          <w:p>
            <w:pPr>
              <w:pStyle w:val="Normal"/>
            </w:pPr>
            <w:r>
              <w:rPr>
                <w:sz w:val="24"/>
                <w:szCs w:val="22"/>
                <w:lang w:val="en-US" w:eastAsia="en-US" w:bidi="ar-SA"/>
                <w:rFonts w:ascii="Times New Roman" w:hAnsi="Times New Roman" w:eastAsia="Times New Roman" w:cs="Times New Roman"/>
              </w:rPr>
              <w:t>The adaptive-learning framework — three principles over the failure-appraisal chain — and the dynamic game-state engine that operationalises it in real time</w:t>
            </w:r>
          </w:p>
        </w:tc>
        <w:tc>
          <w:tcPr>
            <w:tcW w:type="dxa" w:w="2835"/>
          </w:tcPr>
          <w:p>
            <w:pPr>
              <w:pStyle w:val="Normal"/>
            </w:pPr>
            <w:r>
              <w:rPr>
                <w:sz w:val="24"/>
                <w:szCs w:val="22"/>
                <w:lang w:val="en-US" w:eastAsia="en-US" w:bidi="ar-SA"/>
                <w:rFonts w:ascii="Times New Roman" w:hAnsi="Times New Roman" w:eastAsia="Times New Roman" w:cs="Times New Roman"/>
              </w:rPr>
              <w:t>Ch 7 (§7.4, §7.5, §7.5A); §8.4</w:t>
            </w:r>
          </w:p>
        </w:tc>
      </w:tr>
      <w:tr>
        <w:tc>
          <w:tcPr>
            <w:tcW w:type="dxa" w:w="2835"/>
          </w:tcPr>
          <w:p>
            <w:pPr>
              <w:pStyle w:val="Normal"/>
            </w:pPr>
            <w:r>
              <w:rPr>
                <w:sz w:val="24"/>
                <w:szCs w:val="22"/>
                <w:lang w:val="en-US" w:eastAsia="en-US" w:bidi="ar-SA"/>
                <w:rFonts w:ascii="Times New Roman" w:hAnsi="Times New Roman" w:eastAsia="Times New Roman" w:cs="Times New Roman"/>
              </w:rPr>
              <w:t>Industrial</w:t>
            </w:r>
          </w:p>
        </w:tc>
        <w:tc>
          <w:tcPr>
            <w:tcW w:type="dxa" w:w="2835"/>
          </w:tcPr>
          <w:p>
            <w:pPr>
              <w:pStyle w:val="Normal"/>
            </w:pPr>
            <w:r>
              <w:rPr>
                <w:sz w:val="24"/>
                <w:szCs w:val="22"/>
                <w:lang w:val="en-US" w:eastAsia="en-US" w:bidi="ar-SA"/>
                <w:rFonts w:ascii="Times New Roman" w:hAnsi="Times New Roman" w:eastAsia="Times New Roman" w:cs="Times New Roman"/>
              </w:rPr>
              <w:t>A deployment template on existing FRA infrastructure (decoupled presentation, trajectory layer, staff protocol) and addressable-population evidence for planning</w:t>
            </w:r>
          </w:p>
        </w:tc>
        <w:tc>
          <w:tcPr>
            <w:tcW w:type="dxa" w:w="2835"/>
          </w:tcPr>
          <w:p>
            <w:pPr>
              <w:pStyle w:val="Normal"/>
            </w:pPr>
            <w:r>
              <w:rPr>
                <w:sz w:val="24"/>
                <w:szCs w:val="22"/>
                <w:lang w:val="en-US" w:eastAsia="en-US" w:bidi="ar-SA"/>
                <w:rFonts w:ascii="Times New Roman" w:hAnsi="Times New Roman" w:eastAsia="Times New Roman" w:cs="Times New Roman"/>
              </w:rPr>
              <w:t>§8.4; §9.8</w:t>
            </w:r>
          </w:p>
        </w:tc>
      </w:tr>
      <w:tr>
        <w:tc>
          <w:tcPr>
            <w:tcW w:type="dxa" w:w="2835"/>
          </w:tcPr>
          <w:p>
            <w:pPr>
              <w:pStyle w:val="Normal"/>
            </w:pPr>
            <w:r>
              <w:rPr>
                <w:sz w:val="24"/>
                <w:szCs w:val="22"/>
                <w:lang w:val="en-US" w:eastAsia="en-US" w:bidi="ar-SA"/>
                <w:rFonts w:ascii="Times New Roman" w:hAnsi="Times New Roman" w:eastAsia="Times New Roman" w:cs="Times New Roman"/>
              </w:rPr>
              <w:t>Methodological</w:t>
            </w:r>
          </w:p>
        </w:tc>
        <w:tc>
          <w:tcPr>
            <w:tcW w:type="dxa" w:w="2835"/>
          </w:tcPr>
          <w:p>
            <w:pPr>
              <w:pStyle w:val="Normal"/>
            </w:pPr>
            <w:r>
              <w:rPr>
                <w:sz w:val="24"/>
                <w:szCs w:val="22"/>
                <w:lang w:val="en-US" w:eastAsia="en-US" w:bidi="ar-SA"/>
                <w:rFonts w:ascii="Times New Roman" w:hAnsi="Times New Roman" w:eastAsia="Times New Roman" w:cs="Times New Roman"/>
              </w:rPr>
              <w:t>The null-hypothesis-plus-attribution architecture; the dual-purpose mechanic; the QFD evidence-to-design pipeline; the commitment-gap measurement</w:t>
            </w:r>
          </w:p>
        </w:tc>
        <w:tc>
          <w:tcPr>
            <w:tcW w:type="dxa" w:w="2835"/>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thesis makes four principal theoretical contributions, stated in the hierarchy the evidence supports. First — the problem finding — it identifies failure-associated non-return (FIAS) as a post-contact behaviour that standard acceptance and gamification models do not represent, and supplies the behavioural pieces those models are missing: loss aversion, identity-relevant endowment, mental accounting and stereotype threat, integrated as a candidate frame-sensitive account with testable predictions (Table 2.1). Second — the scope finding — the evidence supports a boundary condition for gamification theory: the theory holds for older adults, as Stage 3 indicates at literature-predicted acceptance levels, until the gamified activity is attached to a purpose-based technology whose purpose touches the identity-level value propositions of the user; at that boundary the theory fails, and FIAS names the mechanism (§6.7). Third — the design discovery — it advances adaptive learning as the behavioural-change driver for this population: continuous improvement at the level of the individual user, forced as a discovery by the rejection of H0 and by the Stage-3 commitment gap (§6.8), and the only design element on the table that can re-attach clinical purpose safely. Fourth, it formulates endowment-protective and learning-trajectory appraisals as competing interpretive regimes and translates the design discovery into a falsifiable engineering framework, the adaptive-learning framework, which is the packaging of the discovery rather than a finding in its own right. Three questions are deliberately reserved for the confirmatory programme, and reserving them is a strength of the design: the direct measurement of mental accounting and its companion mechanisms, the full resolution of the score-improvement/non-return paradox, and the isolated test of adaptive learning (§8.8). Read together, the contributions form one behavioural-engineering architecture — the phenomenon (FIAS), the principles (the adaptive-learning framework) and the engine (the dynamic game-state architecture) — as set out in §7.5A.</w:t>
      </w:r>
    </w:p>
    <w:p>
      <w:pPr>
        <w:pStyle w:val="Heading2"/>
      </w:pPr>
      <w:bookmarkStart w:id="132" w:name="_Toc23202462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contributions are: the null-hypothesis-plus-attribution architecture, in which H0 is built from the literature, tested prospectively under fully provisioned conditions, and its rejection disambiguated by a positive-control stage (Table 3.1); the dual-purpose mechanic linking gameplay and a measurement pathway in one physical action; theory-iterating action research with explicit revision points and an explicit confirmation-versus-discovery discipline (§3.5); the QFD pipeline that translates empirical findings into prioritised design requirements (§5.5A); documentation of the AI-assisted development workflow (recorded as enabling method, §5.3.9); a between-cohort quasi-experimental participant-facing decoupling comparison; and the commitment-gap description separating immediate session behaviour from stated future intention. The decoupling study should not be described as single-variable isolation, because multiple participant-facing cues and the cohort context changed.</w:t>
      </w:r>
    </w:p>
    <w:p>
      <w:pPr>
        <w:pStyle w:val="Heading2"/>
      </w:pPr>
      <w:bookmarkStart w:id="133" w:name="_Toc23202462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 strong association between satisfaction and sustained engagement (Fisher's exact p = 0.013); the documented withdrawal (§5.5) of an earlier exploratory motivational-orientation classification whose coding records could not be produced; recorded-index increase without self-reported improvement or return among most single-session participants;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in order of importance, is the adaptive-learning proposition and then its packaging. Adaptive learning gives practitioners a deployable principle: build health-technology engagement around the visible, calibrated improvement of the individual user, and let the clinical purpose ride on the trajectory rather than on verdicts. The adaptive-learning framework makes that principle engineering-actionable — its components can be specified on existing infrastructure, the reference stack and prototype specification translate principles into components, and the applied case studies illustrate hypotheses for other domains. Its empirical status is that of a proposed framework informed by field evidence and learning theory. Before industrial deployment, the framework requires controlled effectiveness testing, implementation-fidelity assessment, safety and disclosure review, usability testing, longitudinal follow-up and cost analysis.</w:t>
      </w:r>
    </w:p>
    <w:p>
      <w:pPr>
        <w:pStyle w:val="Heading2"/>
      </w:pPr>
      <w:bookmarkStart w:id="135" w:name="_Toc23202462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8.4A A Forward-Looking Contribution: The Language-Mode Boundary and Grounded Adaptive Learning</w:t>
      </w:r>
      <w:bookmarkEnd w:id="135"/>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rather than declaring them ruled out. Eight alternatives are considered below; several remain viable because the present design is between-cohort. The expert consultation of §6.8A bears on this examination in both directions: it supplies independent support for the clinical-avoidance reading, and it identifies group and coach support as candidate moderators of post-failure continuation that the future within-cohort study should record and, where feasible, standardise.</w:t>
      </w:r>
    </w:p>
    <w:p>
      <w:pPr>
        <w:pStyle w:val="Heading3"/>
      </w:pPr>
      <w:bookmarkStart w:id="137" w:name="_Toc23202462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effect may be driven by terminology rather than a deeper psychological mechanism. Response: terminology is one operational component of framing, but Stage 3 changed lexical, procedural, interface and recruitment cues together. The design therefore estimates a package effect. Future component testing is required to identify which elements are necessary and whether they interact.</w:t>
      </w:r>
    </w:p>
    <w:p>
      <w:pPr>
        <w:pStyle w:val="Heading3"/>
      </w:pPr>
      <w:bookmarkStart w:id="143" w:name="_Toc23202463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failure occurred through the body's own balance — weight shifts on the pressure panel — whereas in Stage 3 most participants steered with a trackpad or arrow keys (§6.3). The difference between the stages may therefore reflect not only the changed participant-facing frame but also the changed carrier of failure: a failure produced by one's own balance may speak more directly to bodily decline than a failure produced by one's fingers. Response: this alternative is viable, and the present between-cohort design does not separate it from the framing account. It is, however, partly absorbed into the coupling account itself, because the bodily measurement pathway is precisely what the dual-purpose mechanic couples to the game (§5.2A): removing the pressure panel removed the clinical frame and the embodied exposure together. The within-cohort study of §8.8 treats the game, the input device and the frame as independently manipulable factors, so that the contributions of framing and of input modality can be estimated separately.</w:t>
      </w:r>
    </w:p>
    <w:p>
      <w:pPr>
        <w:pStyle w:val="Heading2"/>
      </w:pPr>
      <w:bookmarkStart w:id="144" w:name="_Toc23202463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pPr>
        <w:pStyle w:val="Heading2"/>
      </w:pPr>
      <w:bookmarkStart w:id="145" w:name="_Toc23202463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8.6A A Seventh Limitation: The Language-Mode Boundary of the Layer-2 AI</w:t>
      </w:r>
      <w:bookmarkEnd w:id="145"/>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8.6B Extending the Unit of Analysis: Abandonment as a Three-Party Decision</w:t>
      </w:r>
    </w:p>
    <w:p>
      <w:pPr>
        <w:pStyle w:val="Normal"/>
      </w:pPr>
      <w:r>
        <w:rPr>
          <w:szCs w:val="22"/>
          <w:lang w:val="en-US" w:eastAsia="en-US" w:bidi="ar-SA"/>
          <w:rFonts w:ascii="Times New Roman" w:hAnsi="Times New Roman" w:eastAsia="Times New Roman" w:cs="Times New Roman"/>
          <w:sz w:val="24"/>
        </w:rPr>
        <w:t>The empirical stages treat abandonment as the older user's decision, and that is where the data are. But the field observations invite a richer and more generous reading, offered here as a discussion extension. In the settings studied, three parties stand around the FRA station: the patient, the family, and the physician or care staff — 患者, 家属, 医生 in the Chinese-cultural context of both cohorts — and each can rationally choose to let the technology go from within its own standpoint. The patient protects an identity-level asset: an unfavourable verdict threatens the self-description that still says independent. The family, moved by protectiveness and filial care, may steer a parent away from an experience that visibly distressed them — abandonment as an act of love. The clinician or care team, managing scarce time across many residents, may reasonably stop promoting a station that residents avoid — abandonment as sensible triage. None of these is a failure of understanding; each is a locally reasonable decision.</w:t>
      </w:r>
    </w:p>
    <w:p>
      <w:pPr>
        <w:pStyle w:val="Normal"/>
      </w:pPr>
      <w:r>
        <w:rPr>
          <w:szCs w:val="22"/>
          <w:lang w:val="en-US" w:eastAsia="en-US" w:bidi="ar-SA"/>
          <w:rFonts w:ascii="Times New Roman" w:hAnsi="Times New Roman" w:eastAsia="Times New Roman" w:cs="Times New Roman"/>
          <w:sz w:val="24"/>
        </w:rPr>
        <w:t>Actual abandonment, on this reading, is the sum: the technology falls silent when all three parties, for their separately rational reasons, stop bringing the user back to it. This reframing enriches rather than displaces FIAS — the patient's identity-level appraisal remains the seed, but family and clinician responses can amplify it into permanence, which may be part of why Stage-2 exits were so absolute in a residential setting where family and staff were always nearby. It also widens the design opportunity in an encouraging direction: an adaptive-learning experience that gives the patient a visible rising trajectory simultaneously gives the family something hopeful to support and the clinician something efficient to prescribe, aligning all three standpoints around return rather than retreat. The three-party instrumentation — measuring each party's appraisal and their interactions — is a natural and exciting extension for the confirmatory programme (§8.8), and it connects this thesis to the adopter-system domain of the NASSS framework (Greenhalgh et al., 2017), where precisely such multi-actor dynamics are catalogued but not yet mechanised.</w:t>
      </w:r>
    </w:p>
    <w:p>
      <w:pPr>
        <w:pStyle w:val="Heading2"/>
      </w:pPr>
      <w:bookmarkStart w:id="146" w:name="_Toc23202463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8.7 Ethical Considerations</w:t>
      </w:r>
      <w:bookmarkEnd w:id="146"/>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t>voluntary participation with no consequence for refusal; and difficulty curves calibrated so that even the worst-balance participant could complete an opening session.</w:t>
      </w:r>
    </w:p>
    <w:p>
      <w:pPr>
        <w:pStyle w:val="Heading3"/>
      </w:pPr>
      <w:bookmarkStart w:id="148" w:name="_Toc23202463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the adaptive-learning framework deployment must include explicit guidance not to use coaching to override a clearly stated preference for non-engagement.</w:t>
      </w:r>
    </w:p>
    <w:p>
      <w:pPr>
        <w:pStyle w:val="Heading3"/>
      </w:pPr>
      <w:bookmarkStart w:id="150" w:name="_Toc23202463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pPr>
        <w:pStyle w:val="Heading3"/>
      </w:pPr>
      <w:bookmarkStart w:id="151" w:name="_Toc23202463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8.8 Future Research</w:t>
      </w:r>
      <w:bookmarkEnd w:id="152"/>
    </w:p>
    <w:p>
      <w:pPr>
        <w:pStyle w:val="Normal"/>
        <w:jc w:val="both"/>
      </w:pPr>
      <w:r>
        <w:rPr>
          <w:i w:val="0"/>
          <w:szCs w:val="22"/>
          <w:lang w:val="en-US" w:eastAsia="en-US" w:bidi="ar-SA"/>
          <w:rFonts w:ascii="Times New Roman" w:hAnsi="Times New Roman" w:eastAsia="Times New Roman" w:cs="Times New Roman"/>
          <w:sz w:val="24"/>
        </w:rPr>
        <w:t>The priority extensions are ordered by inferential value. First is a within-cohort randomised comparison of coupled and participant-facing decoupled conditions using the same recruitment, eligibility, staff scripts, software and follow-up. Second is longitudinal follow-up over at least six to twelve months to test sustained voluntary use. Third is direct measurement of the proposed mechanisms through validated or carefully piloted measures of appraisal, self-efficacy, identity relevance, affect and willingness to continue. Fourth is a complete, non-circular FIAS codebook with independent reliability and external validation. Intervention components should be specified against an established behaviour-change taxonomy such as the Behaviour Change Wheel (Michie et al., 2011) so that replication and cross-site comparison are possible. Cross-cultural replication, cross-domain application and community-narrative research should follow after the core causal and construct questions are resolved. The three-party extension of §8.6B adds its own inviting study: instrument the patient, family and clinician standpoints together, and test whether aligning all three around a visible learning trajectory multiplies the return effect.</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The randomised replication should be treated as the decisive next study. Participants would be recruited into one community sample and assigned to coupled or decoupled conditions, with identical hardware, software, level structure, session length, staff support and follow-up. The primary outcome should be observed return within a fixed window; secondary outcomes should include repeated use, self-efficacy, perceived identity threat, fatigue, enjoyment, burden, comprehension and adverse events. A separate qualitative panel with non-returners would clarify why participants completed one session but did not intend regular use. Because the intervention embeds an AI component, the protocol and report of the randomised study should follow the SPIRIT-AI and CONSORT-AI reporting extensions (Liu et al., 2020).</w:t>
      </w:r>
    </w:p>
    <w:p>
      <w:pPr>
        <w:pStyle w:val="Heading2"/>
      </w:pPr>
      <w:bookmarkStart w:id="153" w:name="_Toc23202464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comprises the de-identified Stage-2 and Stage-3 datasets, a data dictionary, the derived-variable code, the fixed game-state specification, the numerical integration parameters, the software version, the analysis scripts and the exact questionnaire versions, bound in Appendix G;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Third, the appendices bind the verbatim language versions of all instruments, the translation procedure, the complete FIAS codebook with inter-coder reliability, the consent materials and the photographic record.</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8"/>
        </w:rPr>
        <w:t>Chapter 9 Conclusion</w:t>
      </w:r>
      <w:bookmarkEnd w:id="154"/>
    </w:p>
    <w:p>
      <w:pPr>
        <w:pStyle w:val="Heading2"/>
      </w:pPr>
      <w:bookmarkStart w:id="155" w:name="_Toc23202464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examine whether participant-facing clinical framing may contribute to that pattern, and translate the evidence into an engineering design response. FRA provided the working case across a Guangzhou residential setting and a separate Hong Kong community setting. The contribution is positioned as a frame-sensitive engagement model and a testable continuous-improvement framework, not as a general theory of all health-technology abandonment. In the architecture of Table 3.1, the programme built a null hypothesis from the best available acceptance and gamification theory, tested it in the field, and followed the rejection to its discoveries.</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The conclusion keeps its three registers — observed results, the inferences that make them intelligible, and the designs they inspire — and it is the clarity of that separation that lets each register be stated with full confidence.</w:t>
      </w:r>
    </w:p>
    <w:p>
      <w:pPr>
        <w:pStyle w:val="Heading2"/>
      </w:pPr>
      <w:bookmarkStart w:id="156" w:name="_Toc23202464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Among single-session participants, the recorded index typically improved while self-reported improvement was rare and no one returned. This divergence motivated the behavioural-economic account, but it did not establish clinical benefit or directly measure endowment, mental accounting or stereotype threat. These observations constitute the prospective rejection of H0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9.3 The Central Finding: Evidence Consistent with a Coupling or Framing Effect</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"Coupling" refers to the design property by which one physical action produces both a gameplay outcome and a clinically interpreted measurement. When these outputs are presented together, an adverse event may be read not only as game difficulty but also as information about the user's body or independence. This is the candidate frame-sensitive mechanism proposed by the thesis. Stages 1 and 2 document the problem signature in the coupled context; they do not directly observe an endowment-protective response or mental-account closure.</w:t>
      </w:r>
    </w:p>
    <w:p>
      <w:pPr>
        <w:pStyle w:val="Normal"/>
        <w:jc w:val="both"/>
      </w:pPr>
      <w:r>
        <w:rPr>
          <w:szCs w:val="22"/>
          <w:lang w:val="en-US" w:eastAsia="en-US" w:bidi="ar-SA"/>
          <w:rFonts w:ascii="Times New Roman" w:hAnsi="Times New Roman" w:eastAsia="Times New Roman" w:cs="Times New Roman"/>
          <w:sz w:val="24"/>
        </w:rPr>
        <w:t>In the Stage-3 condition, participant-facing clinical cues were reduced through several coordinated changes. Failure was presented within a coordination-game context, and post-failure return was common. This pattern supports the practical value of separating the engagement layer from immediate diagnostic-verdict presentation. Because Stage 3 used a separate cohort and a multi-component package, the result should be interpreted as strong directional field evidence rather than a purified effect of one variable.</w:t>
      </w:r>
    </w:p>
    <w:p>
      <w:pPr>
        <w:pStyle w:val="Normal"/>
        <w:jc w:val="both"/>
      </w:pPr>
      <w:r>
        <w:rPr>
          <w:szCs w:val="22"/>
          <w:lang w:val="en-US" w:eastAsia="en-US" w:bidi="ar-SA"/>
          <w:rFonts w:ascii="Times New Roman" w:hAnsi="Times New Roman" w:eastAsia="Times New Roman" w:cs="Times New Roman"/>
          <w:sz w:val="24"/>
        </w:rPr>
        <w:t>FIAS is therefore advanced as a provisional construct describing failure-associated active non-return under identity-relevant conditions, and the central finding is stated as a scope law: gamification theory holds for older adults until the gamified activity is attached to a purpose-based technology whose purpose — health, decline, life-threat — strikes the identity-level value propositions of the user; at that boundary the theory fails, and FIAS names the mechanism of the failure (§6.7). The thesis's principal theoretical contribution is the identification of this coupling boundary and the specification of a mechanism that can be measured in future work. Construct validity, discriminant validity and incremental prediction over STAM remain to be demonstrated.</w:t>
      </w:r>
    </w:p>
    <w:p>
      <w:pPr>
        <w:pStyle w:val="Heading2"/>
      </w:pPr>
      <w:bookmarkStart w:id="157" w:name="_Toc232024646"/>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9.4 Decoupling Preserves the Viability of Game Theory for Elderly Engagement</w:t>
      </w:r>
      <w:bookmarkEnd w:id="157"/>
    </w:p>
    <w:p>
      <w:pPr>
        <w:pStyle w:val="Normal"/>
        <w:jc w:val="both"/>
      </w:pPr>
      <w:r>
        <w:rPr>
          <w:szCs w:val="22"/>
          <w:lang w:val="en-US" w:eastAsia="en-US" w:bidi="ar-SA"/>
          <w:rFonts w:ascii="Times New Roman" w:hAnsi="Times New Roman" w:eastAsia="Times New Roman" w:cs="Times New Roman"/>
          <w:sz w:val="24"/>
        </w:rPr>
        <w:t>A second conclusion is that the Stage-3 results are consistent with gamification theory remaining applicable to elderly engagement. Stage 3 functioned as the programme's positive control (§6.1): the same game mechanics, decoupled from the clinical apparatus and its participant-facing clinical frame (§6.3), were accepted by the elderly cohort at levels the gamification literature predicts — consistent with the theory stack of Chapter 2, including the An–Cheung demonstration, transferring to this population. The findings do not imply that game design theory fails in clinical settings; they locate the failure precisely at the participant-facing relationship between gameplay, assessment language and clinical interpretation. Gamification mechanics should be evaluated together with the frame in which success and failure are understood.</w:t>
      </w:r>
    </w:p>
    <w:p>
      <w:pPr>
        <w:pStyle w:val="Normal"/>
        <w:jc w:val="both"/>
      </w:pPr>
      <w:r>
        <w:rPr>
          <w:szCs w:val="22"/>
          <w:lang w:val="en-US" w:eastAsia="en-US" w:bidi="ar-SA"/>
          <w:rFonts w:ascii="Times New Roman" w:hAnsi="Times New Roman" w:eastAsia="Times New Roman" w:cs="Times New Roman"/>
          <w:sz w:val="24"/>
        </w:rPr>
        <w:t>Stage 3 changed decoupling cues at several levels: lexical language, pre-session procedure, participant-facing interface and clinical-output presentation. The observed result is therefore the joint effect of a decoupling package and its context, not the effect of removing one word or one screen. Future component studies should identify which elements are necessary, sufficient and acceptable.</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9.5 Adaptive Learning as the Design Counter</w:t>
      </w:r>
      <w:bookmarkEnd w:id="158"/>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observed session retention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advanced as the programme's principal design discovery (§6.8; Chapter 7): a regime in which the activity visibly improves the person, session by session, so that a rising personal trajectory — continuous improvement at the level of the individual user — becomes the reason to return, and eventually the frame within which the clinical purpose can be safely re-attached. It can present performance as a trajectory, specify the next achievable step and calibrate challenge, feedback and pacing. The adaptive-learning framework formalises the discovery into three components: identity disentanglement, trajectory installation and adaptive calibration. The framework is not yet empirically validated as a package, the Stage-3 result should not be treated as a test of adaptive learning, and its incremental effect must be evaluated prospectively against decoupling alone and against alternative supports.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therefore to strengthen a credible trajectory interpretation without denying identity, removing all challenge or obscuring clinically meaningful information. Visible progress, mastery-oriented feedback, appropriate challenge and user choice may shift the balance between appraisals. These effects require direct measurement.</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9.7 Theoretical Contributions</w:t>
      </w:r>
      <w:bookmarkEnd w:id="159"/>
    </w:p>
    <w:p>
      <w:pPr>
        <w:pStyle w:val="Normal"/>
        <w:jc w:val="both"/>
      </w:pPr>
      <w:r>
        <w:rPr>
          <w:i w:val="0"/>
          <w:szCs w:val="22"/>
          <w:lang w:val="en-US" w:eastAsia="en-US" w:bidi="ar-SA"/>
          <w:rFonts w:ascii="Times New Roman" w:hAnsi="Times New Roman" w:eastAsia="Times New Roman" w:cs="Times New Roman"/>
          <w:sz w:val="24"/>
        </w:rPr>
        <w:t>The thesis offers four theoretical contributions, in the hierarchy of §8.1. First, FIAS: a provisional, non-diagnostic construct naming the post-contact problem the acceptance models miss, with the behavioural-economics account that structures it (Table 2.1). Second, the coupling boundary condition of gamification theory: where the theory holds for older adults, where it fails, and why. Third, adaptive learning as the design discovery — the behavioural-change driver that converts the boundary's lesson into a buildable response. Fourth, the competing-appraisal formulation (endowment protection versus learning trajectory) and its translation into the falsifiable the adaptive-learning framework packaging. The mechanisms' direct verification, the appraisals' interplay, and adaptive learning's isolated effect are the questions this thesis hands, well-formed and pre-specified, to the studies it proposes.</w:t>
      </w:r>
    </w:p>
    <w:p>
      <w:pPr>
        <w:pStyle w:val="Heading2"/>
      </w:pPr>
      <w:bookmarkStart w:id="160" w:name="_Toc23202465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The practical contribution is, first, a deployable principle — build elderly health-technology engagement around adaptive learning, the visible continuous improvement of the individual user — and second, its specification. The adaptive-learning framework can be implemented on existing FRA infrastructure through participant-facing framing, trajectory visualisation, coaching protocols, adaptive challenge and additional telemetry. Existing hardware reduces capital requirements, but implementation still requires software validation, staff training, ethics and disclosure review, accessibility testing, data governance and longitudinal evaluation.</w:t>
      </w:r>
    </w:p>
    <w:p>
      <w:pPr>
        <w:pStyle w:val="Normal"/>
        <w:jc w:val="both"/>
      </w:pPr>
      <w:r>
        <w:rPr>
          <w:szCs w:val="22"/>
          <w:lang w:val="en-US" w:eastAsia="en-US" w:bidi="ar-SA"/>
          <w:rFonts w:ascii="Times New Roman" w:hAnsi="Times New Roman" w:eastAsia="Times New Roman" w:cs="Times New Roman"/>
          <w:sz w:val="24"/>
        </w:rPr>
        <w:t>The dual-purpose mechanic is a portable engineering pattern: one physical action can support gameplay and a measurement pathway. The practical lesson is to manage how those outputs are presented and interpreted rather than assuming that a clinically meaningful score automatically motivates continued use. The Claude Code-assisted workflow is documented as a development method that accelerated iteration; reproducibility depends on preserving prompts, model versions, code, tests and human design decisions.</w:t>
      </w:r>
    </w:p>
    <w:p>
      <w:pPr>
        <w:pStyle w:val="Normal"/>
        <w:jc w:val="both"/>
      </w:pPr>
      <w:r>
        <w:rPr>
          <w:szCs w:val="22"/>
          <w:lang w:val="en-US" w:eastAsia="en-US" w:bidi="ar-SA"/>
          <w:rFonts w:ascii="Times New Roman" w:hAnsi="Times New Roman" w:eastAsia="Times New Roman" w:cs="Times New Roman"/>
          <w:sz w:val="24"/>
        </w:rPr>
        <w:t>Stage 3 suggests that the addressable population for participant-facing decoupling may be substantial, particularly because 10 of 16 initial dropouts aged 65-80 returned. This is promising for service design, but it is not yet a market-size estimate or evidence of return on investment. The 71.7% coordination endorsement is a manipulation check, and the short follow-up does not establish sustained adoption. Industrial planning should therefore be based on a controlled pilot with longitudinal use, implementation cost and safety outcomes.</w:t>
      </w:r>
    </w:p>
    <w:p>
      <w:pPr>
        <w:pStyle w:val="Heading2"/>
      </w:pPr>
      <w:bookmarkStart w:id="161" w:name="_Toc23202465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t>evaluated in the empirical programme,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that accelerated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t>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the adaptive-learning framework Principle 3. Adaptive calibration can operate at two levels: adjustment of the game to observed performance and updating of a person-specific model from ethically collected signals. The Stage-2 implementation addressed the first only partially. The proposed second loop is a future system requirement to be tested against simpler baselines; it is not necessary to accept the main frame-sensitive result of the thesis.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0" w:type="auto"/>
        <w:jc w:val="center"/>
        <w:tblLook w:val="04A0" w:firstRow="1" w:lastRow="0" w:firstColumn="1" w:lastColumn="0" w:noHBand="0" w:noVBand="1"/>
      </w:tblPr>
      <w:tblGrid>
        <w:gridCol w:w="1559"/>
        <w:gridCol w:w="2973"/>
        <w:gridCol w:w="3963"/>
      </w:tblGrid>
      <w:tr w:rsidR="0062437E" w14:paraId="0C23F125" w14:textId="77777777" w:rsidTr="00FD5D21">
        <w:trPr>
          <w:jc w:val="center"/>
        </w:trPr>
        <w:tc>
          <w:tcPr>
            <w:tcW w:w="1560" w:type="dxa"/>
          </w:tcPr>
          <w:p>
            <w:pPr>
              <w:pStyle w:val="Normal"/>
            </w:pPr>
            <w:r>
              <w:rPr>
                <w:b/>
                <w:sz w:val="24"/>
                <w:szCs w:val="22"/>
                <w:lang w:val="en-US" w:eastAsia="en-US" w:bidi="ar-SA"/>
                <w:rFonts w:ascii="Times New Roman" w:hAnsi="Times New Roman" w:eastAsia="Times New Roman" w:cs="Times New Roman"/>
              </w:rPr>
              <w:t>Dimension</w:t>
            </w:r>
          </w:p>
        </w:tc>
        <w:tc>
          <w:tcPr>
            <w:tcW w:w="2976" w:type="dxa"/>
          </w:tcPr>
          <w:p>
            <w:pPr>
              <w:pStyle w:val="Normal"/>
            </w:pPr>
            <w:r>
              <w:rPr>
                <w:szCs w:val="22"/>
                <w:lang w:val="en-US" w:eastAsia="en-US" w:bidi="ar-SA"/>
                <w:rFonts w:ascii="Times New Roman" w:hAnsi="Times New Roman" w:eastAsia="Times New Roman" w:cs="Times New Roman"/>
                <w:sz w:val="24"/>
              </w:rPr>
              <w:t>Deployed Stage-2 adaptation configuration</w:t>
            </w:r>
          </w:p>
        </w:tc>
        <w:tc>
          <w:tcPr>
            <w:tcW w:w="3969" w:type="dxa"/>
          </w:tcPr>
          <w:p>
            <w:pPr>
              <w:pStyle w:val="Normal"/>
            </w:pPr>
            <w:r>
              <w:rPr>
                <w:szCs w:val="22"/>
                <w:lang w:val="en-US" w:eastAsia="en-US" w:bidi="ar-SA"/>
                <w:rFonts w:ascii="Times New Roman" w:hAnsi="Times New Roman" w:eastAsia="Times New Roman" w:cs="Times New Roman"/>
                <w:sz w:val="24"/>
              </w:rPr>
              <w:t>Proposed person-conditioned extension</w:t>
            </w:r>
          </w:p>
        </w:tc>
      </w:tr>
      <w:tr w:rsidR="0062437E" w14:paraId="2864A92A"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2976"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969"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Input at run time</w:t>
            </w:r>
          </w:p>
        </w:tc>
        <w:tc>
          <w:tcPr>
            <w:tcW w:w="2976"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969" w:type="dxa"/>
          </w:tcPr>
          <w:p>
            <w:pPr>
              <w:pStyle w:val="Normal"/>
            </w:pPr>
            <w:r>
              <w:rPr>
                <w:sz w:val="24"/>
                <w:szCs w:val="22"/>
                <w:lang w:val="en-US" w:eastAsia="en-US" w:bidi="ar-SA"/>
                <w:rFonts w:ascii="Times New Roman" w:hAnsi="Times New Roman" w:eastAsia="Times New Roman" w:cs="Times New Roman"/>
              </w:rPr>
              <w:t>Instant physical and behavioural signals, plus telemetry, captured as they occur</w:t>
            </w:r>
          </w:p>
        </w:tc>
      </w:tr>
      <w:tr w:rsidR="0062437E" w14:paraId="34C88DFE"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Timescale</w:t>
            </w:r>
          </w:p>
        </w:tc>
        <w:tc>
          <w:tcPr>
            <w:tcW w:w="2976"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969" w:type="dxa"/>
          </w:tcPr>
          <w:p>
            <w:pPr>
              <w:pStyle w:val="Normal"/>
            </w:pPr>
            <w:r>
              <w:rPr>
                <w:sz w:val="24"/>
                <w:szCs w:val="22"/>
                <w:lang w:val="en-US" w:eastAsia="en-US" w:bidi="ar-SA"/>
                <w:rFonts w:ascii="Times New Roman" w:hAnsi="Times New Roman" w:eastAsia="Times New Roman" w:cs="Times New Roman"/>
              </w:rPr>
              <w:t>Continuous: perception at one-second cadence; action within seconds of the event</w:t>
            </w:r>
          </w:p>
        </w:tc>
      </w:tr>
      <w:tr w:rsidR="0062437E" w14:paraId="4DDCCB00"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Object of learning</w:t>
            </w:r>
          </w:p>
        </w:tc>
        <w:tc>
          <w:tcPr>
            <w:tcW w:w="2976"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969" w:type="dxa"/>
          </w:tcPr>
          <w:p>
            <w:pPr>
              <w:pStyle w:val="Normal"/>
            </w:pPr>
            <w:r>
              <w:rPr>
                <w:szCs w:val="22"/>
                <w:lang w:val="en-US" w:eastAsia="en-US" w:bidi="ar-SA"/>
                <w:rFonts w:ascii="Times New Roman" w:hAnsi="Times New Roman" w:eastAsia="Times New Roman" w:cs="Times New Roman"/>
                <w:sz w:val="24"/>
              </w:rPr>
              <w:t>A person-specific state estimate updated during interaction</w:t>
            </w:r>
          </w:p>
        </w:tc>
      </w:tr>
      <w:tr w:rsidR="0062437E" w14:paraId="34FEE616"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Output</w:t>
            </w:r>
          </w:p>
        </w:tc>
        <w:tc>
          <w:tcPr>
            <w:tcW w:w="2976"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969"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trPr>
        <w:tc>
          <w:tcPr>
            <w:tcW w:w="1560" w:type="dxa"/>
          </w:tcPr>
          <w:p>
            <w:pPr>
              <w:pStyle w:val="Normal"/>
            </w:pPr>
            <w:r>
              <w:rPr>
                <w:szCs w:val="22"/>
                <w:lang w:val="en-US" w:eastAsia="en-US" w:bidi="ar-SA"/>
                <w:rFonts w:ascii="Times New Roman" w:hAnsi="Times New Roman" w:eastAsia="Times New Roman" w:cs="Times New Roman"/>
                <w:sz w:val="24"/>
              </w:rPr>
              <w:t>Feedback channel</w:t>
            </w:r>
          </w:p>
        </w:tc>
        <w:tc>
          <w:tcPr>
            <w:tcW w:w="2976"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969"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2976"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969"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Theoretical anchors</w:t>
            </w:r>
          </w:p>
        </w:tc>
        <w:tc>
          <w:tcPr>
            <w:tcW w:w="2976"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969"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Evaluation criterion</w:t>
            </w:r>
          </w:p>
        </w:tc>
        <w:tc>
          <w:tcPr>
            <w:tcW w:w="2976"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969"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Cross-cultural, cross-domain and long-term generalisation therefore remain open.</w:t>
      </w:r>
    </w:p>
    <w:p>
      <w:pPr>
        <w:pStyle w:val="Heading2"/>
      </w:pPr>
      <w:bookmarkStart w:id="163" w:name="_Toc23202466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and follow-up. The second is longitudinal evaluation of repeated voluntary use. The third is direct measurement and validation of the proposed FIAS operators, including self-efficacy, identity relevance, appraisal and affect. The fourth is controlled testing of the adaptive-learning framework components and the dynamic-state extension against simpler baselines. Cross-cultural replication, cross-domain application, community-narrative research and person-conditioned adaptive sensing should follow from a stronger causal and construct foundation.</w:t>
      </w:r>
    </w:p>
    <w:p>
      <w:pPr>
        <w:pStyle w:val="Heading2"/>
      </w:pPr>
      <w:bookmarkStart w:id="164" w:name="_Toc23202466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 xml:space="preserve">Stage 3 showed that post-failure return was common in a separate decoupled cohort, including among adults aged 65-80. It would be inappropriate to estimate that "roughly two" of the three F4 residents would have returned under decoupling, because the studies </w:t>
        <w:t>are not individual-level counterfactuals and the samples differ. The defensible conclusion is that the Stage-3 pattern makes non-return appear modifiable and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FRA station in a busy rehabilitation hall and ends with a testable engineering programme. Its argument can be walked in five steps. A null hypothesis, built honestly from the acceptance and gamification literatures, said the station's problem was solvable with good design and game mechanics. The Stage-2 field test rejected it — seventy per cent early disengagement, no returns — even though the game satisfied every criterion the theories name. Stage 3, the attribution experiment, showed the theories were never wrong about older adults: decoupled from the clinical attachment, the same game was accepted at the levels the literature predicts. The failure lives at a boundary — where gamification is attached to a purpose-based technology whose verdicts touch who the user believes they are — and FIAS names its mechanism. And at that boundary the programme found its design discovery: adaptive learning, continuous improvement at the level of the individual user, the one response that can carry clinical purpose back into the experience on the strength of a rising personal trajectory.</w:t>
      </w:r>
    </w:p>
    <w:p>
      <w:pPr>
        <w:pStyle w:val="Normal"/>
        <w:jc w:val="both"/>
      </w:pPr>
      <w:r>
        <w:rPr>
          <w:szCs w:val="22"/>
          <w:lang w:val="en-US" w:eastAsia="en-US" w:bidi="ar-SA"/>
          <w:rFonts w:ascii="Times New Roman" w:hAnsi="Times New Roman" w:eastAsia="Times New Roman" w:cs="Times New Roman"/>
          <w:sz w:val="24"/>
        </w:rPr>
        <w:t>The contribution is therefore a calibrated chain rather than one mechanism demonstrated at four scales, and the chain practises what it proposes: continuous improvement at the researcher's level (the action-research cycles), at the artefact's level (the AI-assisted build) and — as the design discovery for its users — at the level of the individual person. The survey identified a problem signature; Stage 2 characterised failure-associated non-return and the divergence between score change and return; Stage 3 provided convergent quasi-experimental evidence for a frame-sensitive account; the adaptive-learning framework translated the evidence into an engineering framework; and the proposed adaptive-sensing extension identified the next system experiment. The thesis claims that the engagement problem is important, measurable and potentially modifiable on existing infrastructure. It does not claim that mental accounting has been verified, that decoupling alone is causal, or that the FRA programme resolves the limits of language-based intelligence. Read as one architecture, the chain closes: FIAS supplies the phenomenon, the adaptive-learning framework the design principles, and the dynamic game-state engine the real-time implementation (§7.5A).</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8"/>
        </w:rPr>
        <w:t>References</w:t>
      </w:r>
      <w:bookmarkEnd w:id="166"/>
    </w:p>
    <w:p>
      <w:pPr>
        <w:pStyle w:val="Normal"/>
      </w:pPr>
      <w:r>
        <w:rPr>
          <w:szCs w:val="22"/>
          <w:lang w:val="en-US" w:eastAsia="en-US" w:bidi="ar-SA"/>
          <w:rFonts w:ascii="Times New Roman" w:hAnsi="Times New Roman" w:eastAsia="Times New Roman" w:cs="Times New Roman"/>
          <w:sz w:val="24"/>
        </w:rPr>
        <w:t>Akao, Y. (1990). Quality function deployment: Integrating customer requirements into product design. Productivity Press.</w:t>
      </w:r>
    </w:p>
    <w:p>
      <w:pPr>
        <w:pStyle w:val="Normal"/>
        <w:ind w:left="720" w:hanging="720"/>
        <w:jc w:val="both"/>
      </w:pPr>
      <w:r>
        <w:rPr>
          <w:szCs w:val="22"/>
          <w:lang w:val="en-US" w:eastAsia="en-US" w:bidi="ar-SA"/>
          <w:rFonts w:ascii="Times New Roman" w:hAnsi="Times New Roman" w:eastAsia="Times New Roman" w:cs="Times New Roman"/>
          <w:sz w:val="24"/>
        </w:rPr>
        <w:t>Altmeyer, M., Lessel, P., &amp; Krüger, A. (2018). Investigating gamification for seniors aged 75+. In Proceedings of the 2018 Designing Interactive Systems Conference (pp. 453–458). ACM. https://doi.org/10.1145/3196709.3196799</w:t>
      </w:r>
    </w:p>
    <w:p>
      <w:pPr>
        <w:pStyle w:val="Normal"/>
        <w:ind w:left="720" w:hanging="720"/>
        <w:jc w:val="both"/>
      </w:pPr>
      <w:r>
        <w:rPr>
          <w:szCs w:val="22"/>
          <w:lang w:val="en-US" w:eastAsia="en-US" w:bidi="ar-SA"/>
          <w:rFonts w:ascii="Times New Roman" w:hAnsi="Times New Roman" w:eastAsia="Times New Roman" w:cs="Times New Roman"/>
          <w:sz w:val="24"/>
        </w:rPr>
        <w:t>An, S., Cheung, C. F., &amp; Lo, Y. T. (2025). Improving older adults' technology adoption on mobile map: A gamification approach. International Journal of Human–Computer Interaction, 41(15), 9633–9651. https://doi.org/10.1080/10447318.2024.2426914</w:t>
      </w:r>
    </w:p>
    <w:p>
      <w:pPr>
        <w:pStyle w:val="Normal"/>
        <w:ind w:left="720" w:hanging="720"/>
        <w:jc w:val="both"/>
      </w:pPr>
      <w:r>
        <w:rPr>
          <w:szCs w:val="22"/>
          <w:lang w:val="en-US" w:eastAsia="en-US" w:bidi="ar-SA"/>
          <w:rFonts w:ascii="Times New Roman" w:hAnsi="Times New Roman" w:eastAsia="Times New Roman" w:cs="Times New Roman"/>
          <w:sz w:val="24"/>
        </w:rP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pStyle w:val="Normal"/>
        <w:ind w:left="720" w:hanging="720"/>
        <w:jc w:val="both"/>
      </w:pPr>
      <w:r>
        <w:rPr>
          <w:szCs w:val="22"/>
          <w:lang w:val="en-US" w:eastAsia="en-US" w:bidi="ar-SA"/>
          <w:rFonts w:ascii="Times New Roman" w:hAnsi="Times New Roman" w:eastAsia="Times New Roman" w:cs="Times New Roman"/>
          <w:sz w:val="24"/>
        </w:rPr>
        <w:t>Antonides, G., de Groot, I. M., &amp; van Raaij, W. F. (2011). Mental budgeting and the management of household finance. Journal of Economic Psychology, 32(4), 546–555.</w:t>
      </w:r>
    </w:p>
    <w:p>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pStyle w:val="Normal"/>
        <w:ind w:left="720" w:hanging="720"/>
        <w:jc w:val="both"/>
      </w:pPr>
      <w:r>
        <w:rPr>
          <w:szCs w:val="22"/>
          <w:lang w:val="en-US" w:eastAsia="en-US" w:bidi="ar-SA"/>
          <w:rFonts w:ascii="Times New Roman" w:hAnsi="Times New Roman" w:eastAsia="Times New Roman" w:cs="Times New Roman"/>
          <w:sz w:val="24"/>
        </w:rPr>
        <w:t>Bandura, A. (1977). Self-efficacy: Toward a unifying theory of behavioral change. Psychological Review, 84(2), 191–215.</w:t>
      </w:r>
    </w:p>
    <w:p>
      <w:pPr>
        <w:pStyle w:val="Normal"/>
        <w:ind w:left="720" w:hanging="720"/>
        <w:jc w:val="both"/>
      </w:pPr>
      <w:r>
        <w:rPr>
          <w:szCs w:val="22"/>
          <w:lang w:val="en-US" w:eastAsia="en-US" w:bidi="ar-SA"/>
          <w:rFonts w:ascii="Times New Roman" w:hAnsi="Times New Roman" w:eastAsia="Times New Roman" w:cs="Times New Roman"/>
          <w:sz w:val="24"/>
        </w:rPr>
        <w:t>Bandura, A. (1997). Self-efficacy: The exercise of control. W. H. Freeman.</w:t>
      </w:r>
    </w:p>
    <w:p>
      <w:pPr>
        <w:pStyle w:val="Normal"/>
        <w:ind w:left="720" w:hanging="720"/>
        <w:jc w:val="both"/>
      </w:pPr>
      <w:r>
        <w:rPr>
          <w:szCs w:val="22"/>
          <w:lang w:val="en-US" w:eastAsia="en-US" w:bidi="ar-SA"/>
          <w:rFonts w:ascii="Times New Roman" w:hAnsi="Times New Roman" w:eastAsia="Times New Roman" w:cs="Times New Roman"/>
          <w:sz w:val="24"/>
        </w:rPr>
        <w:t>Barber, S. J. (2017). An examination of age-based stereotype threat about cognitive decline. Perspectives on Psychological Science, 12(1), 62–90.</w:t>
      </w:r>
    </w:p>
    <w:p>
      <w:pPr>
        <w:pStyle w:val="Normal"/>
        <w:ind w:left="720" w:hanging="720"/>
        <w:jc w:val="both"/>
      </w:pPr>
      <w:r>
        <w:rPr>
          <w:szCs w:val="22"/>
          <w:lang w:val="en-US" w:eastAsia="en-US" w:bidi="ar-SA"/>
          <w:rFonts w:ascii="Times New Roman" w:hAnsi="Times New Roman" w:eastAsia="Times New Roman" w:cs="Times New Roman"/>
          <w:sz w:val="24"/>
        </w:rPr>
        <w:t>Bjork, E. L., &amp; Bjork, R. A. (2011). Making things hard on yourself, but in a good way: Creating desirable difficulties to enhance learning. In M. A. Gernsbacher, R. W. Pew, L. M. Hough, &amp; J. R. Pomerantz (Eds.), Psychology and the real world (pp. 56–64). Worth.</w:t>
      </w:r>
    </w:p>
    <w:p>
      <w:pPr>
        <w:pStyle w:val="Normal"/>
        <w:ind w:left="720" w:hanging="720"/>
        <w:jc w:val="both"/>
      </w:pPr>
      <w:r>
        <w:rPr>
          <w:szCs w:val="22"/>
          <w:lang w:val="en-US" w:eastAsia="en-US" w:bidi="ar-SA"/>
          <w:rFonts w:ascii="Times New Roman" w:hAnsi="Times New Roman" w:eastAsia="Times New Roman" w:cs="Times New Roman"/>
          <w:sz w:val="24"/>
        </w:rPr>
        <w:t>Broady, T., Chan, A., &amp; Caputi, P. (2010). Older and younger adults' attitudes towards computers. British Journal of Educational Technology, 41(3), 473–485.</w:t>
      </w:r>
    </w:p>
    <w:p>
      <w:pPr>
        <w:pStyle w:val="Normal"/>
        <w:ind w:left="720" w:hanging="720"/>
        <w:jc w:val="both"/>
      </w:pPr>
      <w:r>
        <w:rPr>
          <w:szCs w:val="22"/>
          <w:lang w:val="en-US" w:eastAsia="en-US" w:bidi="ar-SA"/>
          <w:rFonts w:ascii="Times New Roman" w:hAnsi="Times New Roman" w:eastAsia="Times New Roman" w:cs="Times New Roman"/>
          <w:sz w:val="24"/>
        </w:rPr>
        <w:t>Brooks, R. A. (1991). Intelligence without representation. Artificial Intelligence, 47(1–3), 139–159.</w:t>
      </w:r>
    </w:p>
    <w:p>
      <w:pPr>
        <w:pStyle w:val="Normal"/>
        <w:ind w:left="720" w:hanging="720"/>
        <w:jc w:val="both"/>
      </w:pPr>
      <w:r>
        <w:rPr>
          <w:szCs w:val="22"/>
          <w:lang w:val="en-US" w:eastAsia="en-US" w:bidi="ar-SA"/>
          <w:rFonts w:ascii="Times New Roman" w:hAnsi="Times New Roman" w:eastAsia="Times New Roman" w:cs="Times New Roman"/>
          <w:sz w:val="24"/>
        </w:rPr>
        <w:t>Centers for Disease Control and Prevention. (2023). Facts about falls. U.S. Department of Health and Human Services.</w:t>
      </w:r>
    </w:p>
    <w:p>
      <w:pPr>
        <w:pStyle w:val="Normal"/>
      </w:pPr>
      <w:r>
        <w:rPr>
          <w:szCs w:val="22"/>
          <w:lang w:val="en-US" w:eastAsia="en-US" w:bidi="ar-SA"/>
          <w:rFonts w:ascii="Times New Roman" w:hAnsi="Times New Roman" w:eastAsia="Times New Roman" w:cs="Times New Roman"/>
          <w:sz w:val="24"/>
        </w:rPr>
        <w:t>Chan, L.-K., &amp; Wu, M.-L. (2002). Quality function deployment: A literature review. European Journal of Operational Research, 143(3), 463–497.</w:t>
      </w:r>
    </w:p>
    <w:p>
      <w:pPr>
        <w:pStyle w:val="Normal"/>
        <w:ind w:left="720" w:hanging="720"/>
        <w:jc w:val="both"/>
      </w:pPr>
      <w:r>
        <w:rPr>
          <w:szCs w:val="22"/>
          <w:lang w:val="en-US" w:eastAsia="en-US" w:bidi="ar-SA"/>
          <w:rFonts w:ascii="Times New Roman" w:hAnsi="Times New Roman" w:eastAsia="Times New Roman" w:cs="Times New Roman"/>
          <w:sz w:val="24"/>
        </w:rPr>
        <w:t>Chen, G., Gully, S. M., &amp; Eden, D. (2001). Validation of a new general self-efficacy scale. Organizational Research Methods, 4(1), 62–83.</w:t>
      </w:r>
    </w:p>
    <w:p>
      <w:pPr>
        <w:pStyle w:val="Normal"/>
        <w:ind w:left="720" w:hanging="720"/>
        <w:jc w:val="both"/>
      </w:pPr>
      <w:r>
        <w:rPr>
          <w:szCs w:val="22"/>
          <w:lang w:val="en-US" w:eastAsia="en-US" w:bidi="ar-SA"/>
          <w:rFonts w:ascii="Times New Roman" w:hAnsi="Times New Roman" w:eastAsia="Times New Roman" w:cs="Times New Roman"/>
          <w:sz w:val="24"/>
        </w:rPr>
        <w:t>Chen, K., &amp; Chan, A. H. S. (2014). Gerontechnology acceptance by elderly Hong Kong Chinese: A senior technology acceptance model (STAM). Ergonomics, 57(5), 635–652.</w:t>
      </w:r>
    </w:p>
    <w:p>
      <w:pPr>
        <w:pStyle w:val="Normal"/>
        <w:ind w:left="720" w:hanging="720"/>
        <w:jc w:val="both"/>
      </w:pPr>
      <w:r>
        <w:rPr>
          <w:szCs w:val="22"/>
          <w:lang w:val="en-US" w:eastAsia="en-US" w:bidi="ar-SA"/>
          <w:rFonts w:ascii="Times New Roman" w:hAnsi="Times New Roman" w:eastAsia="Times New Roman" w:cs="Times New Roman"/>
          <w:sz w:val="24"/>
        </w:rPr>
        <w:t>Chou, Y. (2015). Actionable gamification: Beyond points, badges, and leaderboards. Octalysis Media.</w:t>
      </w:r>
    </w:p>
    <w:p>
      <w:pPr>
        <w:pStyle w:val="Normal"/>
        <w:ind w:left="720" w:hanging="720"/>
        <w:jc w:val="both"/>
      </w:pPr>
      <w:r>
        <w:rPr>
          <w:szCs w:val="22"/>
          <w:lang w:val="en-US" w:eastAsia="en-US" w:bidi="ar-SA"/>
          <w:rFonts w:ascii="Times New Roman" w:hAnsi="Times New Roman" w:eastAsia="Times New Roman" w:cs="Times New Roman"/>
          <w:sz w:val="24"/>
        </w:rPr>
        <w:t>Compeau, D. R., &amp; Higgins, C. A. (1995). Computer self-efficacy: Development of a measure and initial test. MIS Quarterly, 19(2), 189–211.</w:t>
      </w:r>
    </w:p>
    <w:p>
      <w:pPr>
        <w:pStyle w:val="Normal"/>
        <w:ind w:left="720" w:hanging="720"/>
        <w:jc w:val="both"/>
      </w:pPr>
      <w:r>
        <w:rPr>
          <w:szCs w:val="22"/>
          <w:lang w:val="en-US" w:eastAsia="en-US" w:bidi="ar-SA"/>
          <w:rFonts w:ascii="Times New Roman" w:hAnsi="Times New Roman" w:eastAsia="Times New Roman" w:cs="Times New Roman"/>
          <w:sz w:val="24"/>
        </w:rPr>
        <w:t>Csikszentmihalyi, M. (1990). Flow: The psychology of optimal experience. Harper &amp; Row.</w:t>
      </w:r>
    </w:p>
    <w:p>
      <w:pPr/>
      <w:r>
        <w:t>Czaja, S. J., Boot, W. R., Charness, N., Rogers, W. A., &amp; Sharit, J. (2018). Improving social support for older adults through technology: Findings from the PRISM randomized controlled trial. The Gerontologist, 58(3), 467-477. https://doi.org/10.1093/geront/gnw249</w:t>
      </w:r>
    </w:p>
    <w:p>
      <w:pPr>
        <w:pStyle w:val="Normal"/>
        <w:ind w:left="720" w:hanging="720"/>
        <w:jc w:val="both"/>
      </w:pPr>
      <w:r>
        <w:rPr>
          <w:szCs w:val="22"/>
          <w:lang w:val="en-US" w:eastAsia="en-US" w:bidi="ar-SA"/>
          <w:rFonts w:ascii="Times New Roman" w:hAnsi="Times New Roman" w:eastAsia="Times New Roman" w:cs="Times New Roman"/>
          <w:sz w:val="24"/>
        </w:rPr>
        <w:t>Davis, F. D. (1989). Perceived usefulness, perceived ease of use, and user acceptance of information technology. MIS Quarterly, 13(3), 319–340.</w:t>
      </w:r>
    </w:p>
    <w:p>
      <w:pPr>
        <w:pStyle w:val="Normal"/>
        <w:ind w:left="720" w:hanging="720"/>
        <w:jc w:val="both"/>
      </w:pPr>
      <w:r>
        <w:rPr>
          <w:szCs w:val="22"/>
          <w:lang w:val="en-US" w:eastAsia="en-US" w:bidi="ar-SA"/>
          <w:rFonts w:ascii="Times New Roman" w:hAnsi="Times New Roman" w:eastAsia="Times New Roman" w:cs="Times New Roman"/>
          <w:sz w:val="24"/>
        </w:rPr>
        <w:t>Deci, E. L., &amp; Ryan, R. M. (1985). Intrinsic motivation and self-determination in human behavior. Plenum.</w:t>
      </w:r>
    </w:p>
    <w:p>
      <w:pPr>
        <w:pStyle w:val="Normal"/>
        <w:ind w:left="720" w:hanging="720"/>
        <w:jc w:val="both"/>
      </w:pPr>
      <w:r>
        <w:rPr>
          <w:szCs w:val="22"/>
          <w:lang w:val="en-US" w:eastAsia="en-US" w:bidi="ar-SA"/>
          <w:rFonts w:ascii="Times New Roman" w:hAnsi="Times New Roman" w:eastAsia="Times New Roman" w:cs="Times New Roman"/>
          <w:sz w:val="24"/>
        </w:rPr>
        <w:t>Deterding, S., Dixon, D., Khaled, R., &amp; Nacke, L. (2011). From game design elements to gamefulness: Defining gamification. In Proceedings of the 15th International Academic MindTrek Conference (pp. 9–15). ACM.</w:t>
      </w:r>
    </w:p>
    <w:p>
      <w:pPr>
        <w:pStyle w:val="Normal"/>
        <w:ind w:left="720" w:hanging="720"/>
        <w:jc w:val="both"/>
      </w:pPr>
      <w:r>
        <w:rPr>
          <w:szCs w:val="22"/>
          <w:lang w:val="en-US" w:eastAsia="en-US" w:bidi="ar-SA"/>
          <w:rFonts w:ascii="Times New Roman" w:hAnsi="Times New Roman" w:eastAsia="Times New Roman" w:cs="Times New Roman"/>
          <w:sz w:val="24"/>
        </w:rPr>
        <w:t>D'Mello, S., &amp; Graesser, A. (2012). Dynamics of affective states during complex learning. Learning and Instruction, 22(2), 145–157.</w:t>
      </w:r>
    </w:p>
    <w:p>
      <w:pPr>
        <w:pStyle w:val="Normal"/>
        <w:ind w:left="720" w:hanging="720"/>
        <w:jc w:val="both"/>
      </w:pPr>
      <w:r>
        <w:rPr>
          <w:szCs w:val="22"/>
          <w:lang w:val="en-US" w:eastAsia="en-US" w:bidi="ar-SA"/>
          <w:rFonts w:ascii="Times New Roman" w:hAnsi="Times New Roman" w:eastAsia="Times New Roman" w:cs="Times New Roman"/>
          <w:sz w:val="24"/>
        </w:rPr>
        <w:t>Elliot, A. J., &amp; Murayama, K. (2008). On the measurement of achievement goals: Critique, illustration, and application. Journal of Educational Psychology, 100(3), 613–628.</w:t>
      </w:r>
    </w:p>
    <w:p>
      <w:pPr>
        <w:pStyle w:val="Normal"/>
        <w:ind w:left="720" w:hanging="720"/>
        <w:jc w:val="both"/>
      </w:pPr>
      <w:r>
        <w:rPr>
          <w:szCs w:val="22"/>
          <w:lang w:val="en-US" w:eastAsia="en-US" w:bidi="ar-SA"/>
          <w:rFonts w:ascii="Times New Roman" w:hAnsi="Times New Roman" w:eastAsia="Times New Roman" w:cs="Times New Roman"/>
          <w:sz w:val="24"/>
        </w:rPr>
        <w:t>Eysenbach, G. (2005). The law of attrition. Journal of Medical Internet Research, 7(1), e11.</w:t>
      </w:r>
    </w:p>
    <w:p>
      <w:pPr>
        <w:pStyle w:val="Normal"/>
        <w:ind w:left="720" w:hanging="720"/>
        <w:jc w:val="both"/>
      </w:pPr>
      <w:r>
        <w:rPr>
          <w:szCs w:val="22"/>
          <w:lang w:val="en-US" w:eastAsia="en-US" w:bidi="ar-SA"/>
          <w:rFonts w:ascii="Times New Roman" w:hAnsi="Times New Roman" w:eastAsia="Times New Roman" w:cs="Times New Roman"/>
          <w:sz w:val="24"/>
        </w:rPr>
        <w:t>Festinger, L. (1954). A theory of social comparison processes. Human Relations, 7(2), 117–140.</w:t>
      </w:r>
    </w:p>
    <w:p>
      <w:pPr>
        <w:pStyle w:val="Normal"/>
        <w:ind w:left="720" w:hanging="720"/>
        <w:jc w:val="both"/>
      </w:pPr>
      <w:r>
        <w:rPr>
          <w:szCs w:val="22"/>
          <w:lang w:val="en-US" w:eastAsia="en-US" w:bidi="ar-SA"/>
          <w:rFonts w:ascii="Times New Roman" w:hAnsi="Times New Roman" w:eastAsia="Times New Roman" w:cs="Times New Roman"/>
          <w:sz w:val="24"/>
        </w:rPr>
        <w:t>Frey, B. S., &amp; Jegen, R. (2001). Motivation crowding theory. Journal of Economic Surveys, 15(5), 589–611.</w:t>
      </w:r>
    </w:p>
    <w:p>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r>
        <w:t>GrandPad. (n.d.). GrandPad: The tablet for seniors [Product and subscription information]. GrandPad, Inc. https://www.grandpad.net</w:t>
      </w:r>
    </w:p>
    <w:p>
      <w:pPr>
        <w:pStyle w:val="Normal"/>
        <w:ind w:left="720" w:hanging="720"/>
        <w:jc w:val="both"/>
      </w:pPr>
      <w:r>
        <w:rPr>
          <w:szCs w:val="22"/>
          <w:lang w:val="en-US" w:eastAsia="en-US" w:bidi="ar-SA"/>
          <w:rFonts w:ascii="Times New Roman" w:hAnsi="Times New Roman" w:eastAsia="Times New Roman" w:cs="Times New Roman"/>
          <w:sz w:val="24"/>
        </w:rP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pStyle w:val="Normal"/>
        <w:ind w:left="720" w:hanging="720"/>
        <w:jc w:val="both"/>
      </w:pPr>
      <w:r>
        <w:rPr>
          <w:szCs w:val="22"/>
          <w:lang w:val="en-US" w:eastAsia="en-US" w:bidi="ar-SA"/>
          <w:rFonts w:ascii="Times New Roman" w:hAnsi="Times New Roman" w:eastAsia="Times New Roman" w:cs="Times New Roman"/>
          <w:sz w:val="24"/>
        </w:rPr>
        <w:t>Harnad, S. (1990). The symbol grounding problem. Physica D: Nonlinear Phenomena, 42(1–3), 335–346.</w:t>
      </w:r>
    </w:p>
    <w:p>
      <w:pPr>
        <w:pStyle w:val="Normal"/>
        <w:ind w:left="720" w:hanging="720"/>
        <w:jc w:val="both"/>
      </w:pPr>
      <w:r>
        <w:rPr>
          <w:szCs w:val="22"/>
          <w:lang w:val="en-US" w:eastAsia="en-US" w:bidi="ar-SA"/>
          <w:rFonts w:ascii="Times New Roman" w:hAnsi="Times New Roman" w:eastAsia="Times New Roman" w:cs="Times New Roman"/>
          <w:sz w:val="24"/>
        </w:rPr>
        <w:t>Hawthorn, D. (2007). Interface design and engagement with older people. Behaviour &amp; Information Technology, 26(4), 333–341.</w:t>
      </w:r>
    </w:p>
    <w:p>
      <w:pPr>
        <w:pStyle w:val="Normal"/>
        <w:ind w:left="720" w:hanging="720"/>
        <w:jc w:val="both"/>
      </w:pPr>
      <w:r>
        <w:rPr>
          <w:szCs w:val="22"/>
          <w:lang w:val="en-US" w:eastAsia="en-US" w:bidi="ar-SA"/>
          <w:rFonts w:ascii="Times New Roman" w:hAnsi="Times New Roman" w:eastAsia="Times New Roman" w:cs="Times New Roman"/>
          <w:sz w:val="24"/>
        </w:rPr>
        <w:t>Holt, C. A., &amp; Laury, S. K. (2002). Risk aversion and incentive effects. American Economic Review, 92(5), 1644–1655.</w:t>
      </w:r>
    </w:p>
    <w:p>
      <w:pPr>
        <w:pStyle w:val="Normal"/>
        <w:ind w:left="720" w:hanging="720"/>
        <w:jc w:val="both"/>
      </w:pPr>
      <w:r>
        <w:rPr>
          <w:szCs w:val="22"/>
          <w:lang w:val="en-US" w:eastAsia="en-US" w:bidi="ar-SA"/>
          <w:rFonts w:ascii="Times New Roman" w:hAnsi="Times New Roman" w:eastAsia="Times New Roman" w:cs="Times New Roman"/>
          <w:sz w:val="24"/>
        </w:rPr>
        <w:t>InBody Co., Ltd. (2022). InBody FRA510S: Fall risk assessment system — user manual and product catalogue. InBody Co., Ltd.</w:t>
      </w:r>
    </w:p>
    <w:p>
      <w:pPr>
        <w:pStyle w:val="Normal"/>
        <w:ind w:left="720" w:hanging="720"/>
        <w:jc w:val="both"/>
      </w:pPr>
      <w:r>
        <w:rPr>
          <w:szCs w:val="22"/>
          <w:lang w:val="en-US" w:eastAsia="en-US" w:bidi="ar-SA"/>
          <w:rFonts w:ascii="Times New Roman" w:hAnsi="Times New Roman" w:eastAsia="Times New Roman" w:cs="Times New Roman"/>
          <w:sz w:val="24"/>
        </w:rPr>
        <w:t>Juul, J. (2013). The art of failure: An essay on the pain of playing video games. MIT Press.</w:t>
      </w:r>
    </w:p>
    <w:p>
      <w:pPr>
        <w:pStyle w:val="Normal"/>
        <w:ind w:left="720" w:hanging="720"/>
        <w:jc w:val="both"/>
      </w:pPr>
      <w:r>
        <w:rPr>
          <w:szCs w:val="22"/>
          <w:lang w:val="en-US" w:eastAsia="en-US" w:bidi="ar-SA"/>
          <w:rFonts w:ascii="Times New Roman" w:hAnsi="Times New Roman" w:eastAsia="Times New Roman" w:cs="Times New Roman"/>
          <w:sz w:val="24"/>
        </w:rPr>
        <w:t>Kahneman, D., Knetsch, J. L., &amp; Thaler, R. H. (1990). Experimental tests of the endowment effect and the Coase theorem. Journal of Political Economy, 98(6), 1325–1348.</w:t>
      </w:r>
    </w:p>
    <w:p>
      <w:pPr>
        <w:pStyle w:val="Normal"/>
        <w:ind w:left="720" w:hanging="720"/>
        <w:jc w:val="both"/>
      </w:pPr>
      <w:r>
        <w:rPr>
          <w:szCs w:val="22"/>
          <w:lang w:val="en-US" w:eastAsia="en-US" w:bidi="ar-SA"/>
          <w:rFonts w:ascii="Times New Roman" w:hAnsi="Times New Roman" w:eastAsia="Times New Roman" w:cs="Times New Roman"/>
          <w:sz w:val="24"/>
        </w:rPr>
        <w:t>Kahneman, D., &amp; Tversky, A. (1979). Prospect theory: An analysis of decision under risk. Econometrica, 47(2), 263–292.</w:t>
      </w:r>
    </w:p>
    <w:p>
      <w:pPr>
        <w:pStyle w:val="Normal"/>
        <w:ind w:left="720" w:hanging="720"/>
        <w:jc w:val="both"/>
      </w:pPr>
      <w:r>
        <w:rPr>
          <w:szCs w:val="22"/>
          <w:lang w:val="en-US" w:eastAsia="en-US" w:bidi="ar-SA"/>
          <w:rFonts w:ascii="Times New Roman" w:hAnsi="Times New Roman" w:eastAsia="Times New Roman" w:cs="Times New Roman"/>
          <w:sz w:val="24"/>
        </w:rPr>
        <w:t>Kapur, M. (2008). Productive failure. Cognition and Instruction, 26(3), 379–424.</w:t>
      </w:r>
    </w:p>
    <w:p>
      <w:pPr>
        <w:pStyle w:val="Normal"/>
        <w:ind w:left="720" w:hanging="720"/>
        <w:jc w:val="both"/>
      </w:pPr>
      <w:r>
        <w:rPr>
          <w:szCs w:val="22"/>
          <w:lang w:val="en-US" w:eastAsia="en-US" w:bidi="ar-SA"/>
          <w:rFonts w:ascii="Times New Roman" w:hAnsi="Times New Roman" w:eastAsia="Times New Roman" w:cs="Times New Roman"/>
          <w:sz w:val="24"/>
        </w:rPr>
        <w:t>Kim, M., Kim, S., &amp; Won, C. W. (2018). Test–retest reliability and sensitivity to change of a new fall risk assessment system: A pilot study. Annals of Geriatric Medicine and Research, 22(2), 80–87. https://doi.org/10.4235/agmr.2018.22.2.80</w:t>
      </w:r>
    </w:p>
    <w:p>
      <w:pPr>
        <w:pStyle w:val="Normal"/>
        <w:ind w:left="720" w:hanging="720"/>
        <w:jc w:val="both"/>
      </w:pPr>
      <w:r>
        <w:rPr>
          <w:szCs w:val="22"/>
          <w:lang w:val="en-US" w:eastAsia="en-US" w:bidi="ar-SA"/>
          <w:rFonts w:ascii="Times New Roman" w:hAnsi="Times New Roman" w:eastAsia="Times New Roman" w:cs="Times New Roman"/>
          <w:sz w:val="24"/>
        </w:rPr>
        <w:t>King, W. R., &amp; He, J. (2006). A meta-analysis of the technology acceptance model. Information &amp; Management, 43(6), 740–755.</w:t>
      </w:r>
    </w:p>
    <w:p>
      <w:pPr>
        <w:pStyle w:val="Normal"/>
        <w:ind w:left="720" w:hanging="720"/>
        <w:jc w:val="both"/>
      </w:pPr>
      <w:r>
        <w:rPr>
          <w:szCs w:val="22"/>
          <w:lang w:val="en-US" w:eastAsia="en-US" w:bidi="ar-SA"/>
          <w:rFonts w:ascii="Times New Roman" w:hAnsi="Times New Roman" w:eastAsia="Times New Roman" w:cs="Times New Roman"/>
          <w:sz w:val="24"/>
        </w:rPr>
        <w:t>Koivisto, J., &amp; Malik, A. (2021). Gamification for older adults: A systematic literature review. The Gerontologist, 61(7), e360–e372.</w:t>
      </w:r>
    </w:p>
    <w:p>
      <w:pPr>
        <w:pStyle w:val="Normal"/>
        <w:ind w:left="720" w:hanging="720"/>
        <w:jc w:val="both"/>
      </w:pPr>
      <w:r>
        <w:rPr>
          <w:szCs w:val="22"/>
          <w:lang w:val="en-US" w:eastAsia="en-US" w:bidi="ar-SA"/>
          <w:rFonts w:ascii="Times New Roman" w:hAnsi="Times New Roman" w:eastAsia="Times New Roman" w:cs="Times New Roman"/>
          <w:sz w:val="24"/>
        </w:rPr>
        <w:t>Kroenke, K., Spitzer, R. L., Williams, J. B. W., &amp; Löwe, B. (2009). An ultra-brief screening scale for anxiety and depression: The PHQ-4. Psychosomatics, 50(6), 613–621.</w:t>
      </w:r>
    </w:p>
    <w:p>
      <w:pPr>
        <w:pStyle w:val="Normal"/>
        <w:ind w:left="720" w:hanging="720"/>
        <w:jc w:val="both"/>
      </w:pPr>
      <w:r>
        <w:rPr>
          <w:szCs w:val="22"/>
          <w:lang w:val="en-US" w:eastAsia="en-US" w:bidi="ar-SA"/>
          <w:rFonts w:ascii="Times New Roman" w:hAnsi="Times New Roman" w:eastAsia="Times New Roman" w:cs="Times New Roman"/>
          <w:sz w:val="24"/>
        </w:rPr>
        <w:t>Lee, C., &amp; Coughlin, J. F. (2015). Older adults' adoption of technology: An integrated approach to identifying determinants and barriers. Journal of Product Innovation Management, 32(5), 747–759.</w:t>
      </w:r>
    </w:p>
    <w:p>
      <w:pPr>
        <w:pStyle w:val="Normal"/>
        <w:ind w:left="720" w:hanging="720"/>
        <w:jc w:val="both"/>
      </w:pPr>
      <w:r>
        <w:rPr>
          <w:szCs w:val="22"/>
          <w:lang w:val="en-US" w:eastAsia="en-US" w:bidi="ar-SA"/>
          <w:rFonts w:ascii="Times New Roman" w:hAnsi="Times New Roman" w:eastAsia="Times New Roman" w:cs="Times New Roman"/>
          <w:sz w:val="24"/>
        </w:rPr>
        <w:t>Levy, B. R., Slade, M. D., Kunkel, S. R., &amp; Kasl, S. V. (2002). Longevity increased by positive self-perceptions of aging. Journal of Personality and Social Psychology, 83(2), 261–270.</w:t>
      </w:r>
    </w:p>
    <w:p>
      <w:pPr>
        <w:pStyle w:val="Normal"/>
        <w:ind w:left="720" w:hanging="720"/>
        <w:jc w:val="both"/>
      </w:pPr>
      <w:r>
        <w:rPr>
          <w:szCs w:val="22"/>
          <w:lang w:val="en-US" w:eastAsia="en-US" w:bidi="ar-SA"/>
          <w:rFonts w:ascii="Times New Roman" w:hAnsi="Times New Roman" w:eastAsia="Times New Roman" w:cs="Times New Roman"/>
          <w:sz w:val="24"/>
        </w:rPr>
        <w:t>Lewin, K. (1946). Action research and minority problems. Journal of Social Issues, 2(4), 34–46.</w:t>
      </w:r>
    </w:p>
    <w:p>
      <w:pPr/>
      <w:r>
        <w:t>Liu, X., Cruz Rivera, S., Moher, D., Calvert, M. J., Denniston, A. K., &amp; SPIRIT-AI and CONSORT-AI Working Group. (2020). Reporting guidelines for clinical trials evaluating artificial intelligence interventions: The SPIRIT-AI and CONSORT-AI extensions. Nature Medicine, 26(9), 1364-1374.</w:t>
      </w:r>
    </w:p>
    <w:p>
      <w:pPr>
        <w:pStyle w:val="Normal"/>
        <w:ind w:left="720" w:hanging="720"/>
        <w:jc w:val="both"/>
      </w:pPr>
      <w:r>
        <w:rPr>
          <w:szCs w:val="22"/>
          <w:lang w:val="en-US" w:eastAsia="en-US" w:bidi="ar-SA"/>
          <w:rFonts w:ascii="Times New Roman" w:hAnsi="Times New Roman" w:eastAsia="Times New Roman" w:cs="Times New Roman"/>
          <w:sz w:val="24"/>
        </w:rPr>
        <w:t>Locke, E. A., &amp; Latham, G. P. (2002). Building a practically useful theory of goal setting and task motivation: A 35-year odyssey. American Psychologist, 57(9), 705–717.</w:t>
      </w:r>
    </w:p>
    <w:p>
      <w:pPr>
        <w:pStyle w:val="Normal"/>
        <w:ind w:left="720" w:hanging="720"/>
        <w:jc w:val="both"/>
      </w:pPr>
      <w:r>
        <w:rPr>
          <w:szCs w:val="22"/>
          <w:lang w:val="en-US" w:eastAsia="en-US" w:bidi="ar-SA"/>
          <w:rFonts w:ascii="Times New Roman" w:hAnsi="Times New Roman" w:eastAsia="Times New Roman" w:cs="Times New Roman"/>
          <w:sz w:val="24"/>
        </w:rPr>
        <w:t>McGlone, M. S., &amp; Aronson, J. (2006). Stereotype threat, identity salience, and spatial reasoning. Journal of Applied Developmental Psychology, 27(5), 486–493.</w:t>
      </w:r>
    </w:p>
    <w:p>
      <w:pPr>
        <w:pStyle w:val="Normal"/>
        <w:ind w:left="720" w:hanging="720"/>
        <w:jc w:val="both"/>
      </w:pPr>
      <w:r>
        <w:rPr>
          <w:szCs w:val="22"/>
          <w:lang w:val="en-US" w:eastAsia="en-US" w:bidi="ar-SA"/>
          <w:rFonts w:ascii="Times New Roman" w:hAnsi="Times New Roman" w:eastAsia="Times New Roman" w:cs="Times New Roman"/>
          <w:sz w:val="24"/>
        </w:rPr>
        <w:t>Michie, S., van Stralen, M. M., &amp; West, R. (2011). The behaviour change wheel: A new method for characterising and designing behaviour change interventions. Implementation Science, 6, 42.</w:t>
      </w:r>
    </w:p>
    <w:p>
      <w:pPr>
        <w:pStyle w:val="Normal"/>
        <w:ind w:left="720" w:hanging="720"/>
        <w:jc w:val="both"/>
      </w:pPr>
      <w:r>
        <w:rPr>
          <w:szCs w:val="22"/>
          <w:lang w:val="en-US" w:eastAsia="en-US" w:bidi="ar-SA"/>
          <w:rFonts w:ascii="Times New Roman" w:hAnsi="Times New Roman" w:eastAsia="Times New Roman" w:cs="Times New Roman"/>
          <w:sz w:val="24"/>
        </w:rPr>
        <w:t xml:space="preserve">Nasreddine, Z. S., Phillips, N. A., Bédirian, V., Charbonneau, S., Whitehead, V., Collin, I., Cummings, J. L., &amp; Chertkow, H. (2005). The Montreal Cognitive Assessment, </w:t>
        <w:t>MoCA: A brief screening tool for mild cognitive impairment. Journal of the American Geriatrics Society, 53(4), 695–699.</w:t>
      </w:r>
    </w:p>
    <w:p>
      <w:pPr/>
      <w:r>
        <w:t>Park, D. C., Lodi-Smith, J., Drew, L., Haber, S., Hebrank, A., Bischof, G. N., &amp; Aamodt, W. (2014). The impact of sustained engagement on cognitive function in older adults: The Synapse Project. Psychological Science, 25(1), 103-112. https://doi.org/10.1177/0956797613499592</w:t>
      </w:r>
    </w:p>
    <w:p>
      <w:pPr>
        <w:pStyle w:val="Normal"/>
        <w:ind w:left="720" w:hanging="720"/>
        <w:jc w:val="both"/>
      </w:pPr>
      <w:r>
        <w:rPr>
          <w:szCs w:val="22"/>
          <w:lang w:val="en-US" w:eastAsia="en-US" w:bidi="ar-SA"/>
          <w:rFonts w:ascii="Times New Roman" w:hAnsi="Times New Roman" w:eastAsia="Times New Roman" w:cs="Times New Roman"/>
          <w:sz w:val="24"/>
        </w:rPr>
        <w:t>Park, W.-C., Kim, M., Kim, S., Yoo, J., Kim, B. S., Chon, J., Jeong, S. J., &amp; Won, C. W. (2019). Introduction of fall risk assessment (FRA) system and cross-sectional validation among community-dwelling older adults. Annals of Rehabilitation Medicine, 43(1), 87–95. https://doi.org/10.5535/arm.2019.43.1.87</w:t>
      </w:r>
    </w:p>
    <w:p>
      <w:pPr/>
      <w:r>
        <w:t>Perissinotto, C., Zhang, C., Oseau, T., Balik, D., Sou, C., Burnight, C., &amp; Burnight, K. (2019). Feasibility of a tablet designed for older adults to facilitate telemedicine visits [Conference abstract]. Innovation in Aging, 3(Suppl. 1), S975. https://doi.org/10.1093/geroni/igz038.3534</w:t>
      </w:r>
    </w:p>
    <w:p>
      <w:pPr>
        <w:pStyle w:val="Normal"/>
        <w:ind w:left="720" w:hanging="720"/>
        <w:jc w:val="both"/>
      </w:pPr>
      <w:r>
        <w:rPr>
          <w:szCs w:val="22"/>
          <w:lang w:val="en-US" w:eastAsia="en-US" w:bidi="ar-SA"/>
          <w:rFonts w:ascii="Times New Roman" w:hAnsi="Times New Roman" w:eastAsia="Times New Roman" w:cs="Times New Roman"/>
          <w:sz w:val="24"/>
        </w:rPr>
        <w:t>Picard, R. W. (1997). Affective computing. MIT Press.</w:t>
      </w:r>
    </w:p>
    <w:p>
      <w:pPr>
        <w:pStyle w:val="Normal"/>
        <w:ind w:left="720" w:hanging="720"/>
        <w:jc w:val="both"/>
      </w:pPr>
      <w:r>
        <w:rPr>
          <w:szCs w:val="22"/>
          <w:lang w:val="en-US" w:eastAsia="en-US" w:bidi="ar-SA"/>
          <w:rFonts w:ascii="Times New Roman" w:hAnsi="Times New Roman" w:eastAsia="Times New Roman" w:cs="Times New Roman"/>
          <w:sz w:val="24"/>
        </w:rPr>
        <w:t>Reason, P., &amp; Bradbury, H. (Eds.). (2008). The SAGE handbook of action research: Participative inquiry and practice (2nd ed.). SAGE.</w:t>
      </w:r>
    </w:p>
    <w:p>
      <w:pPr>
        <w:pStyle w:val="Normal"/>
        <w:ind w:left="720" w:hanging="720"/>
        <w:jc w:val="both"/>
      </w:pPr>
      <w:r>
        <w:rPr>
          <w:szCs w:val="22"/>
          <w:lang w:val="en-US" w:eastAsia="en-US" w:bidi="ar-SA"/>
          <w:rFonts w:ascii="Times New Roman" w:hAnsi="Times New Roman" w:eastAsia="Times New Roman" w:cs="Times New Roman"/>
          <w:sz w:val="24"/>
        </w:rPr>
        <w:t>Ryan, R. M., &amp; Deci, E. L. (2000). Self-determination theory and the facilitation of intrinsic motivation, social development, and well-being. American Psychologist, 55(1), 68–78.</w:t>
      </w:r>
    </w:p>
    <w:p>
      <w:pPr>
        <w:pStyle w:val="Normal"/>
        <w:ind w:left="720" w:hanging="720"/>
        <w:jc w:val="both"/>
      </w:pPr>
      <w:r>
        <w:rPr>
          <w:szCs w:val="22"/>
          <w:lang w:val="en-US" w:eastAsia="en-US" w:bidi="ar-SA"/>
          <w:rFonts w:ascii="Times New Roman" w:hAnsi="Times New Roman" w:eastAsia="Times New Roman" w:cs="Times New Roman"/>
          <w:sz w:val="24"/>
        </w:rPr>
        <w:t>Satchell, C., &amp; Dourish, P. (2009). Beyond the user: Use and non-use in HCI. In Proceedings of OzCHI 2009 (pp. 9–16). ACM.</w:t>
      </w:r>
    </w:p>
    <w:p>
      <w:pPr>
        <w:pStyle w:val="Normal"/>
        <w:ind w:left="720" w:hanging="720"/>
        <w:jc w:val="both"/>
      </w:pPr>
      <w:r>
        <w:rPr>
          <w:szCs w:val="22"/>
          <w:lang w:val="en-US" w:eastAsia="en-US" w:bidi="ar-SA"/>
          <w:rFonts w:ascii="Times New Roman" w:hAnsi="Times New Roman" w:eastAsia="Times New Roman" w:cs="Times New Roman"/>
          <w:sz w:val="24"/>
        </w:rPr>
        <w:t>Schroeder, T., Dodds, L., Georgiou, A., Gewald, H., &amp; Siette, J. (2023). Older adults and new technology: Mapping review of the factors associated with older adults' intention to adopt digital technologies. JMIR Aging, 6, e44564.</w:t>
      </w:r>
    </w:p>
    <w:p>
      <w:pPr>
        <w:pStyle w:val="Normal"/>
        <w:ind w:left="720" w:hanging="720"/>
        <w:jc w:val="both"/>
      </w:pPr>
      <w:r>
        <w:rPr>
          <w:szCs w:val="22"/>
          <w:lang w:val="en-US" w:eastAsia="en-US" w:bidi="ar-SA"/>
          <w:rFonts w:ascii="Times New Roman" w:hAnsi="Times New Roman" w:eastAsia="Times New Roman" w:cs="Times New Roman"/>
          <w:sz w:val="24"/>
        </w:rPr>
        <w:t>Shannon, C. E. (1948). A mathematical theory of communication. Bell System Technical Journal, 27(3), 379–423; 27(4), 623–656.</w:t>
      </w:r>
    </w:p>
    <w:p>
      <w:pPr>
        <w:pStyle w:val="Normal"/>
        <w:ind w:left="720" w:hanging="720"/>
        <w:jc w:val="both"/>
      </w:pPr>
      <w:r>
        <w:rPr>
          <w:szCs w:val="22"/>
          <w:lang w:val="en-US" w:eastAsia="en-US" w:bidi="ar-SA"/>
          <w:rFonts w:ascii="Times New Roman" w:hAnsi="Times New Roman" w:eastAsia="Times New Roman" w:cs="Times New Roman"/>
          <w:sz w:val="24"/>
        </w:rPr>
        <w:t>Standing Committee of the National People's Congress. (2021). Personal information protection law of the People's Republic of China.</w:t>
      </w:r>
    </w:p>
    <w:p>
      <w:pPr>
        <w:pStyle w:val="Normal"/>
        <w:ind w:left="720" w:hanging="720"/>
        <w:jc w:val="both"/>
      </w:pPr>
      <w:r>
        <w:rPr>
          <w:szCs w:val="22"/>
          <w:lang w:val="en-US" w:eastAsia="en-US" w:bidi="ar-SA"/>
          <w:rFonts w:ascii="Times New Roman" w:hAnsi="Times New Roman" w:eastAsia="Times New Roman" w:cs="Times New Roman"/>
          <w:sz w:val="24"/>
        </w:rPr>
        <w:t>Steele, C. M., &amp; Aronson, J. (1995). Stereotype threat and the intellectual test performance of African Americans. Journal of Personality and Social Psychology, 69(5), 797–811.</w:t>
      </w:r>
    </w:p>
    <w:p>
      <w:pPr>
        <w:pStyle w:val="Normal"/>
        <w:ind w:left="720" w:hanging="720"/>
        <w:jc w:val="both"/>
      </w:pPr>
      <w:r>
        <w:rPr>
          <w:szCs w:val="22"/>
          <w:lang w:val="en-US" w:eastAsia="en-US" w:bidi="ar-SA"/>
          <w:rFonts w:ascii="Times New Roman" w:hAnsi="Times New Roman" w:eastAsia="Times New Roman" w:cs="Times New Roman"/>
          <w:sz w:val="24"/>
        </w:rPr>
        <w:t>Stringer, E. T. (2014). Action research (4th ed.). SAGE.</w:t>
      </w:r>
    </w:p>
    <w:p>
      <w:pPr/>
      <w:r>
        <w:t>Tha, S. H., Hough, K., Bui, N., Dulaney, S., &amp; Perissinotto, C. (2025). The use of age-friendly technology in the care of older adults: Two implementation case studies. Journal of Applied Gerontology. https://doi.org/10.1177/07334648251343513</w:t>
      </w:r>
    </w:p>
    <w:p>
      <w:pPr>
        <w:pStyle w:val="Normal"/>
        <w:ind w:left="720" w:hanging="720"/>
        <w:jc w:val="both"/>
      </w:pPr>
      <w:r>
        <w:rPr>
          <w:szCs w:val="22"/>
          <w:lang w:val="en-US" w:eastAsia="en-US" w:bidi="ar-SA"/>
          <w:rFonts w:ascii="Times New Roman" w:hAnsi="Times New Roman" w:eastAsia="Times New Roman" w:cs="Times New Roman"/>
          <w:sz w:val="24"/>
        </w:rPr>
        <w:t>Thaler, R. H. (1980). Toward a positive theory of consumer choice. Journal of Economic Behavior &amp; Organization, 1(1), 39–60.</w:t>
      </w:r>
    </w:p>
    <w:p>
      <w:pPr>
        <w:pStyle w:val="Normal"/>
        <w:ind w:left="720" w:hanging="720"/>
        <w:jc w:val="both"/>
      </w:pPr>
      <w:r>
        <w:rPr>
          <w:szCs w:val="22"/>
          <w:lang w:val="en-US" w:eastAsia="en-US" w:bidi="ar-SA"/>
          <w:rFonts w:ascii="Times New Roman" w:hAnsi="Times New Roman" w:eastAsia="Times New Roman" w:cs="Times New Roman"/>
          <w:sz w:val="24"/>
        </w:rPr>
        <w:t>Thaler, R. H. (1985). Mental accounting and consumer choice. Marketing Science, 4(3), 199–214.</w:t>
      </w:r>
    </w:p>
    <w:p>
      <w:pPr>
        <w:pStyle w:val="Normal"/>
        <w:ind w:left="720" w:hanging="720"/>
        <w:jc w:val="both"/>
      </w:pPr>
      <w:r>
        <w:rPr>
          <w:szCs w:val="22"/>
          <w:lang w:val="en-US" w:eastAsia="en-US" w:bidi="ar-SA"/>
          <w:rFonts w:ascii="Times New Roman" w:hAnsi="Times New Roman" w:eastAsia="Times New Roman" w:cs="Times New Roman"/>
          <w:sz w:val="24"/>
        </w:rPr>
        <w:t>Tsai, T. H., Lin, W. Y., Chang, Y. S., Chang, P. C., &amp; Lee, M. Y. (2020). Technology anxiety and resistance to change: Behavioural study of a wearable cardiac warming system using an extended TAM for older adults. PLOS ONE, 15(1), e0227270. https://doi.org/10.1371/journal.pone.0227270</w:t>
      </w:r>
    </w:p>
    <w:p>
      <w:pPr>
        <w:pStyle w:val="Normal"/>
        <w:ind w:left="720" w:hanging="720"/>
        <w:jc w:val="both"/>
      </w:pPr>
      <w:r>
        <w:rPr>
          <w:szCs w:val="22"/>
          <w:lang w:val="en-US" w:eastAsia="en-US" w:bidi="ar-SA"/>
          <w:rFonts w:ascii="Times New Roman" w:hAnsi="Times New Roman" w:eastAsia="Times New Roman" w:cs="Times New Roman"/>
          <w:sz w:val="24"/>
        </w:rPr>
        <w:t>Tversky, A., &amp; Kahneman, D. (1991). Loss aversion in riskless choice: A reference-dependent model. Quarterly Journal of Economics, 106(4), 1039–1061.</w:t>
      </w:r>
    </w:p>
    <w:p>
      <w:pPr>
        <w:pStyle w:val="Normal"/>
        <w:ind w:left="720" w:hanging="720"/>
        <w:jc w:val="both"/>
      </w:pPr>
      <w:r>
        <w:rPr>
          <w:szCs w:val="22"/>
          <w:lang w:val="en-US" w:eastAsia="en-US" w:bidi="ar-SA"/>
          <w:rFonts w:ascii="Times New Roman" w:hAnsi="Times New Roman" w:eastAsia="Times New Roman" w:cs="Times New Roman"/>
          <w:sz w:val="24"/>
        </w:rPr>
        <w:t>VanLehn, K. (2011). The relative effectiveness of human tutoring, intelligent tutoring systems, and other tutoring systems. Educational Psychologist, 46(4), 197–221.</w:t>
      </w:r>
    </w:p>
    <w:p>
      <w:pPr>
        <w:pStyle w:val="Normal"/>
        <w:ind w:left="720" w:hanging="720"/>
        <w:jc w:val="both"/>
      </w:pPr>
      <w:r>
        <w:rPr>
          <w:szCs w:val="22"/>
          <w:lang w:val="en-US" w:eastAsia="en-US" w:bidi="ar-SA"/>
          <w:rFonts w:ascii="Times New Roman" w:hAnsi="Times New Roman" w:eastAsia="Times New Roman" w:cs="Times New Roman"/>
          <w:sz w:val="24"/>
        </w:rPr>
        <w:t>Venkatesh, V., &amp; Bala, H. (2008). Technology acceptance model 3 and a research agenda on interventions. Decision Sciences, 39(2), 273–315.</w:t>
      </w:r>
    </w:p>
    <w:p>
      <w:pPr>
        <w:pStyle w:val="Normal"/>
        <w:ind w:left="720" w:hanging="720"/>
        <w:jc w:val="both"/>
      </w:pPr>
      <w:r>
        <w:rPr>
          <w:szCs w:val="22"/>
          <w:lang w:val="en-US" w:eastAsia="en-US" w:bidi="ar-SA"/>
          <w:rFonts w:ascii="Times New Roman" w:hAnsi="Times New Roman" w:eastAsia="Times New Roman" w:cs="Times New Roman"/>
          <w:sz w:val="24"/>
        </w:rPr>
        <w:t>Venkatesh, V., &amp; Davis, F. D. (2000). A theoretical extension of the technology acceptance model: Four longitudinal field studies. Management Science, 46(2), 186–204.</w:t>
      </w:r>
    </w:p>
    <w:p>
      <w:pPr>
        <w:pStyle w:val="Normal"/>
        <w:ind w:left="720" w:hanging="720"/>
        <w:jc w:val="both"/>
      </w:pPr>
      <w:r>
        <w:rPr>
          <w:szCs w:val="22"/>
          <w:lang w:val="en-US" w:eastAsia="en-US" w:bidi="ar-SA"/>
          <w:rFonts w:ascii="Times New Roman" w:hAnsi="Times New Roman" w:eastAsia="Times New Roman" w:cs="Times New Roman"/>
          <w:sz w:val="24"/>
        </w:rPr>
        <w:t>Venkatesh, V., Morris, M. G., Davis, G. B., &amp; Davis, F. D. (2003). User acceptance of information technology: Toward a unified view. MIS Quarterly, 27(3), 425–478.</w:t>
      </w:r>
    </w:p>
    <w:p>
      <w:pPr>
        <w:pStyle w:val="Normal"/>
        <w:ind w:left="720" w:hanging="720"/>
        <w:jc w:val="both"/>
      </w:pPr>
      <w:r>
        <w:rPr>
          <w:szCs w:val="22"/>
          <w:lang w:val="en-US" w:eastAsia="en-US" w:bidi="ar-SA"/>
          <w:rFonts w:ascii="Times New Roman" w:hAnsi="Times New Roman" w:eastAsia="Times New Roman" w:cs="Times New Roman"/>
          <w:sz w:val="24"/>
        </w:rPr>
        <w:t>Vickers, A. J., &amp; Elkin, E. B. (2006). Decision curve analysis: A novel method for evaluating prediction models. Medical Decision Making, 26(6), 565–574.</w:t>
      </w:r>
    </w:p>
    <w:p>
      <w:pPr>
        <w:pStyle w:val="Normal"/>
        <w:ind w:left="720" w:hanging="720"/>
        <w:jc w:val="both"/>
      </w:pPr>
      <w:r>
        <w:rPr>
          <w:szCs w:val="22"/>
          <w:lang w:val="en-US" w:eastAsia="en-US" w:bidi="ar-SA"/>
          <w:rFonts w:ascii="Times New Roman" w:hAnsi="Times New Roman" w:eastAsia="Times New Roman" w:cs="Times New Roman"/>
          <w:sz w:val="24"/>
        </w:rPr>
        <w:t>Vygotsky, L. S. (1978). Mind in society: The development of higher psychological processes. Harvard University Press.</w:t>
      </w:r>
    </w:p>
    <w:p>
      <w:pPr>
        <w:pStyle w:val="Normal"/>
        <w:ind w:left="720" w:hanging="720"/>
        <w:jc w:val="both"/>
      </w:pPr>
      <w:r>
        <w:rPr>
          <w:szCs w:val="22"/>
          <w:lang w:val="en-US" w:eastAsia="en-US" w:bidi="ar-SA"/>
          <w:rFonts w:ascii="Times New Roman" w:hAnsi="Times New Roman" w:eastAsia="Times New Roman" w:cs="Times New Roman"/>
          <w:sz w:val="24"/>
        </w:rPr>
        <w:t>Wittgenstein, L. (1922). Tractatus logico-philosophicus (C. K. Ogden, Trans.). Kegan Paul, Trench, Trubner. (Original work published 1921)</w:t>
      </w:r>
    </w:p>
    <w:p>
      <w:pPr>
        <w:pStyle w:val="Normal"/>
        <w:ind w:left="720" w:hanging="720"/>
        <w:jc w:val="both"/>
      </w:pPr>
      <w:r>
        <w:rPr>
          <w:szCs w:val="22"/>
          <w:lang w:val="en-US" w:eastAsia="en-US" w:bidi="ar-SA"/>
          <w:rFonts w:ascii="Times New Roman" w:hAnsi="Times New Roman" w:eastAsia="Times New Roman" w:cs="Times New Roman"/>
          <w:sz w:val="24"/>
        </w:rPr>
        <w:t>World Health Organization. (2007). WHO global report on falls prevention in older age. World Health Organization.</w:t>
      </w:r>
    </w:p>
    <w:p>
      <w:pPr>
        <w:pStyle w:val="Normal"/>
        <w:ind w:left="720" w:hanging="720"/>
        <w:jc w:val="both"/>
      </w:pPr>
      <w:r>
        <w:rPr>
          <w:szCs w:val="22"/>
          <w:lang w:val="en-US" w:eastAsia="en-US" w:bidi="ar-SA"/>
          <w:rFonts w:ascii="Times New Roman" w:hAnsi="Times New Roman" w:eastAsia="Times New Roman" w:cs="Times New Roman"/>
          <w:sz w:val="24"/>
        </w:rPr>
        <w:t>World Health Organization. (2023). Falls (Fact sheet). World Health Organization. https://www.who.int/news-room/fact-sheets/detail/falls</w:t>
      </w:r>
    </w:p>
    <w:p>
      <w:pPr>
        <w:pStyle w:val="Normal"/>
      </w:pPr>
      <w:r>
        <w:rPr>
          <w:szCs w:val="22"/>
          <w:lang w:val="en-US" w:eastAsia="en-US" w:bidi="ar-SA"/>
          <w:rFonts w:ascii="Times New Roman" w:hAnsi="Times New Roman" w:eastAsia="Times New Roman" w:cs="Times New Roman"/>
          <w:sz w:val="24"/>
        </w:rPr>
        <w:t>World Health Organization. (2024). Ageing and health (Fact sheet). World Health Organization. https://www.who.int/news-room/fact-sheets/detail/ageing-and-health</w:t>
      </w:r>
    </w:p>
    <w:p>
      <w:pPr>
        <w:pStyle w:val="Normal"/>
        <w:ind w:left="720" w:hanging="720"/>
        <w:jc w:val="both"/>
      </w:pPr>
      <w:r>
        <w:rPr>
          <w:szCs w:val="22"/>
          <w:lang w:val="en-US" w:eastAsia="en-US" w:bidi="ar-SA"/>
          <w:rFonts w:ascii="Times New Roman" w:hAnsi="Times New Roman" w:eastAsia="Times New Roman" w:cs="Times New Roman"/>
          <w:sz w:val="24"/>
        </w:rPr>
        <w:t>Yardley, L., Beyer, N., Hauer, K., Kempen, G., Piot-Ziegler, C., &amp; Todd, C. (2005). Development and initial validation of the Falls Efficacy Scale-International (FES-I). Age and Ageing, 34(6), 614–619.</w:t>
      </w:r>
    </w:p>
    <w:p>
      <w:pPr>
        <w:pStyle w:val="Heading1"/>
        <w:pageBreakBefore/>
      </w:pPr>
      <w:bookmarkStart w:id="167" w:name="_Toc232024664"/>
      <w:r>
        <w:rPr>
          <w:lang w:val="en-US" w:eastAsia="en-US" w:bidi="ar-SA"/>
          <w:rFonts w:asciiTheme="majorHAnsi" w:eastAsiaTheme="majorEastAsia" w:hAnsiTheme="majorHAnsi" w:cstheme="majorBidi" w:ascii="Times New Roman" w:hAnsi="Times New Roman" w:eastAsia="Times New Roman" w:cs="Times New Roman"/>
          <w:b/>
          <w:color w:val="000000"/>
          <w:sz w:val="24"/>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intensive post-deployment interviews were conducted with all nine persistent participants, one to two days after the close of the eight-week cycle and following the small rewards presentation at which their written consent was recorded. The interviews used a paper interview questionnaire and were conducted in Mandarin or Cantonese at the participant's preference; the author's contemporaneous notes are the primary record.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confirmatory programme (§8.8), not a record of interviews conducted.</w:t>
      </w:r>
    </w:p>
    <w:p>
      <w:pPr>
        <w:pStyle w:val="Heading3"/>
      </w:pPr>
      <w:bookmarkStart w:id="172" w:name="_Toc23202466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 In the Stage-3 remote deployment the instrument was distributed with the e-mailed game build, and participants returned their responses by e-mail together with the build's logged results file.</w:t>
      </w:r>
    </w:p>
    <w:p>
      <w:pPr>
        <w:pStyle w:val="Heading3"/>
      </w:pPr>
      <w:bookmarkStart w:id="174" w:name="_Toc23202467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ran on a five-layer architecture. The decoupled Stage-3 condition ran a ported HTML build of the L1 game layer on participants' own computers: L0 was replaced by trackpad or arrow-key input (or a foot-pad sensor where available), and the L3/L4 clinical pipeline was absent rather than merely suppressed. The full adaptive-learning reference stack adds three further layers (L5 User-Facing Trajectory, L6 Staff Coaching Protocol, L7 Adaptive-Learning Telemetry) without altering the underlying signal path.</w:t>
      </w:r>
    </w:p>
    <w:p>
      <w:pPr>
        <w:pStyle w:val="Heading3"/>
      </w:pPr>
      <w:bookmarkStart w:id="177" w:name="_Toc232024674"/>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E.1 · Layers L0–L4 (Stage-2 Operational)</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0" w:type="auto"/>
        <w:jc w:val="center"/>
        <w:tblLook w:val="04A0" w:firstRow="1" w:lastRow="0" w:firstColumn="1" w:lastColumn="0" w:noHBand="0" w:noVBand="1"/>
      </w:tblPr>
      <w:tblGrid>
        <w:gridCol w:w="2551"/>
        <w:gridCol w:w="5944"/>
      </w:tblGrid>
      <w:tr w:rsidR="0062437E" w14:paraId="051C2B91" w14:textId="77777777" w:rsidTr="00FD5D21">
        <w:trPr>
          <w:jc w:val="center"/>
        </w:trPr>
        <w:tc>
          <w:tcPr>
            <w:tcW w:w="2552" w:type="dxa"/>
          </w:tcPr>
          <w:p>
            <w:pPr>
              <w:pStyle w:val="Normal"/>
            </w:pPr>
            <w:r>
              <w:rPr>
                <w:b/>
                <w:sz w:val="24"/>
                <w:szCs w:val="22"/>
                <w:lang w:val="en-US" w:eastAsia="en-US" w:bidi="ar-SA"/>
                <w:rFonts w:ascii="Times New Roman" w:hAnsi="Times New Roman" w:eastAsia="Times New Roman" w:cs="Times New Roman"/>
              </w:rPr>
              <w:t>Construct</w:t>
            </w:r>
          </w:p>
        </w:tc>
        <w:tc>
          <w:tcPr>
            <w:tcW w:w="5952" w:type="dxa"/>
          </w:tcPr>
          <w:p>
            <w:pPr>
              <w:pStyle w:val="Normal"/>
            </w:pPr>
            <w:r>
              <w:rPr>
                <w:b/>
                <w:sz w:val="24"/>
                <w:szCs w:val="22"/>
                <w:lang w:val="en-US" w:eastAsia="en-US" w:bidi="ar-SA"/>
                <w:rFonts w:ascii="Times New Roman" w:hAnsi="Times New Roman" w:eastAsia="Times New Roman" w:cs="Times New Roman"/>
              </w:rPr>
              <w:t>Definition</w:t>
            </w:r>
          </w:p>
        </w:tc>
      </w:tr>
      <w:tr w:rsidR="0062437E" w14:paraId="662CB726"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FIDS</w:t>
            </w:r>
          </w:p>
        </w:tc>
        <w:tc>
          <w:tcPr>
            <w:tcW w:w="5952"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FIAS</w:t>
            </w:r>
          </w:p>
        </w:tc>
        <w:tc>
          <w:tcPr>
            <w:tcW w:w="5952" w:type="dxa"/>
          </w:tcPr>
          <w:p>
            <w:pPr>
              <w:pStyle w:val="Normal"/>
            </w:pPr>
            <w:r>
              <w:rPr>
                <w:szCs w:val="22"/>
                <w:lang w:val="en-US" w:eastAsia="en-US" w:bidi="ar-SA"/>
                <w:rFonts w:ascii="Times New Roman" w:hAnsi="Times New Roman" w:eastAsia="Times New Roman" w:cs="Times New Roman"/>
                <w:sz w:val="24"/>
              </w:rPr>
              <w:t>Failure-Induced Abandonment Syndrome - a provisional, non-diagnostic behavioural construct describing active non-return after an adverse experience under identity-relevant conditions. Reliability, construct validity and incremental prediction remain to be tested.</w:t>
            </w:r>
          </w:p>
        </w:tc>
      </w:tr>
      <w:tr w:rsidR="0062437E" w14:paraId="6EC0C8E6"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Objective-Score-Improvement/Non-Return Paradox</w:t>
            </w:r>
          </w:p>
        </w:tc>
        <w:tc>
          <w:tcPr>
            <w:tcW w:w="5952"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Decoupling</w:t>
            </w:r>
          </w:p>
        </w:tc>
        <w:tc>
          <w:tcPr>
            <w:tcW w:w="5952"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5952"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Frame-Suppression</w:t>
            </w:r>
          </w:p>
        </w:tc>
        <w:tc>
          <w:tcPr>
            <w:tcW w:w="5952"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Commitment Gap</w:t>
            </w:r>
          </w:p>
        </w:tc>
        <w:tc>
          <w:tcPr>
            <w:tcW w:w="5952"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observed session retention (85.4%) and stated regular-use intention (56.1%). It is descriptive and does not identify a single cause.</w:t>
            </w:r>
          </w:p>
        </w:tc>
      </w:tr>
      <w:tr w:rsidR="0062437E" w14:paraId="291D7747"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Adaptive-Learning Framework</w:t>
            </w:r>
          </w:p>
        </w:tc>
        <w:tc>
          <w:tcPr>
            <w:tcW w:w="5952"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Entropy Constraint</w:t>
            </w:r>
          </w:p>
        </w:tc>
        <w:tc>
          <w:tcPr>
            <w:tcW w:w="5952"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M0 / M1 / M2</w:t>
            </w:r>
          </w:p>
        </w:tc>
        <w:tc>
          <w:tcPr>
            <w:tcW w:w="5952"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Compared by LRT, ΔAIC, ΔBIC, McFadden's pseudo-R², Harrell's C-index and decision-curve analysis.</w:t>
            </w:r>
          </w:p>
        </w:tc>
      </w:tr>
      <w:tr w:rsidR="0062437E" w14:paraId="6C76D9EB"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Decision-Curve Analysis</w:t>
            </w:r>
          </w:p>
        </w:tc>
        <w:tc>
          <w:tcPr>
            <w:tcW w:w="5952" w:type="dxa"/>
          </w:tcPr>
          <w:p>
            <w:pPr>
              <w:pStyle w:val="Normal"/>
            </w:pPr>
            <w:r>
              <w:rPr>
                <w:sz w:val="24"/>
                <w:szCs w:val="22"/>
                <w:lang w:val="en-US" w:eastAsia="en-US" w:bidi="ar-SA"/>
                <w:rFonts w:ascii="Times New Roman" w:hAnsi="Times New Roman" w:eastAsia="Times New Roman" w:cs="Times New Roman"/>
              </w:rPr>
              <w:t>Inferential bridge from a behavioural-science claim to an engineering recommendation; weighs true-positive identification of imminent abandonment against false-positive intervention cost (Vickers &amp; Elkin, 2006).</w:t>
            </w:r>
          </w:p>
        </w:tc>
      </w:tr>
      <w:tr w:rsidR="0062437E" w14:paraId="049A1C1C"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Adaptive Learning</w:t>
            </w:r>
          </w:p>
        </w:tc>
        <w:tc>
          <w:tcPr>
            <w:tcW w:w="5952"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G · Raw Data, Photographs and Supplementary Materials</w:t>
      </w:r>
      <w:bookmarkEnd w:id="181"/>
    </w:p>
    <w:p>
      <w:pPr>
        <w:pStyle w:val="Normal"/>
        <w:jc w:val="both"/>
      </w:pPr>
      <w:r>
        <w:rPr>
          <w:szCs w:val="22"/>
          <w:lang w:val="en-US" w:eastAsia="en-US" w:bidi="ar-SA"/>
          <w:rFonts w:ascii="Times New Roman" w:hAnsi="Times New Roman" w:eastAsia="Times New Roman" w:cs="Times New Roman"/>
          <w:sz w:val="24"/>
        </w:rP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pPr>
      <w:r>
        <w:rPr>
          <w:i w:val="0"/>
          <w:szCs w:val="22"/>
          <w:lang w:val="en-US" w:eastAsia="en-US" w:bidi="ar-SA"/>
          <w:rFonts w:ascii="Times New Roman" w:hAnsi="Times New Roman" w:eastAsia="Times New Roman" w:cs="Times New Roman"/>
          <w:sz w:val="24"/>
        </w:rPr>
        <w:t xml:space="preserve">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Session-level telemetry is bound with this item where retained; its retention status is recorded in §8.9.</w:t>
      </w:r>
    </w:p>
    <w:p>
      <w:pPr>
        <w:pStyle w:val="Normal"/>
      </w:pPr>
      <w:r>
        <w:rPr>
          <w:szCs w:val="22"/>
          <w:lang w:val="en-US" w:eastAsia="en-US" w:bidi="ar-SA"/>
          <w:rFonts w:ascii="Times New Roman" w:hAnsi="Times New Roman" w:eastAsia="Times New Roman" w:cs="Times New Roman"/>
          <w:sz w:val="24"/>
        </w:rPr>
        <w:t xml:space="preserve">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r>
        <w:t>G.4  Photographs of the Guangzhou Stage-2 deployment (consented).</w:t>
      </w:r>
    </w:p>
    <w:p>
      <w:r>
        <w:t>G.5  The Stage-3 distribution and return e-mail record (de-identified index of dates, channels and returned files).</w:t>
      </w:r>
    </w:p>
    <w:p>
      <w:r>
        <w:t>G.6  Screenshots of the skiing game at each difficulty level (1–5).</w:t>
      </w:r>
    </w:p>
    <w:p>
      <w:r>
        <w:rPr>
          <w:i w:val="0"/>
        </w:rPr>
        <w:t>G.7  AI prompt-template archive used in Layer 2 (system and user prompts, versions and settings).</w:t>
      </w:r>
    </w:p>
    <w:p>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pStyle w:val="Heading2"/>
      </w:pPr>
      <w:r>
        <w:t>Appendix H · Expert Consultation Record</w:t>
      </w:r>
    </w:p>
    <w:p>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r>
        <w:t>H.3  Summary of the consultation (author's notes). (1) The author introduced the research: Stages 1-3, the findings, and the null hypothesis.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r>
        <w:t>H.5  Interview guide (as used). The consultation followed a semi-structured guide (45-60 minutes; archived as Expert_Interview_Guide_2026.docx, Appendix G item G.8),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sectPr w:rsidR="0062437E" w:rsidSect="00034616">
      <w:footerReference w:type="default" r:id="rId22"/>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FIDS to FIAS - Submission Draft v21</dc:title>
  <dc:subject>EngD thesis revised following academic methodological review</dc:subject>
  <dc:creator>python-docx</dc:creator>
  <cp:keywords/>
  <dc:description>V33: Figure 8.1 design-space map inserted with LoF entry.</dc:description>
  <cp:lastModifiedBy>TAM, Sidney [Student]</cp:lastModifiedBy>
  <cp:revision>6</cp:revision>
  <cp:lastPrinted>2026-07-11T05:43:00Z</cp:lastPrinted>
  <dcterms:created xsi:type="dcterms:W3CDTF">2026-07-03T09:50:00Z</dcterms:created>
  <dcterms:modified xsi:type="dcterms:W3CDTF">2026-07-11T10:34:00Z</dcterms:modified>
  <cp:category/>
</cp:coreProperties>
</file>