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among the 120 participants whose returned files were compiled (returned dropouts counted as retained; the invitation denominator is unknown and the timing rule separating a return from an ordinary interval between sessions is not reconstructable from the aggregate record),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 adaptive support (difficulty adjustment with coaching) against static presentation, crossed with zero-failure against game-over failure modes — was built and distributed during the programme; its design, builds and returns on record at the 26 September 2026 cut-off are documented descriptively in Appendix I and are not used to test the adaptive-learning proposition, which is carried forward as discussion and future study.</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at the 26 September 2026 Cut-off</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in-game interface carried no clinical labels, scores or risk outputs; the participant invitation on file (a 4 August 2026 reconstruction of the March–April invitation,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26 September 2026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at the 26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the 26 September 2026 cut-off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with their subgroup denominators, are reported in Chapter 4 (Table 4.1).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At the thesis cut-off of 26 September 2026 the record holds one verified return (15 August 2026), five returns received on 15 September 2026 that were excluded as researcher-solicited plays on the 13-August build, no returns from the frozen edition,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at the 26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at the 26 September 2026 cut-off; no results form part of the thesis evidence and the study is not used as the adaptive-learning test</w:t>
            </w:r>
          </w:p>
        </w:tc>
        <w:tc>
          <w:tcPr>
            <w:tcW w:type="dxa" w:w="2584"/>
          </w:tcPr>
          <w:p>
            <w:r>
              <w:rPr/>
              <w:t>August–September 2026 (9-August build distributed 10–12 August; 13-August revision not distributed to the August cohort, a copy re-sent 15 September; frozen study edition 15 September; record stated at the thesis cut-off of 26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programme activities in calendar order, July 2024 – October 2026, with the chapter that reports each; the Stage-3B row is stated at the thesis cut-off of 26 September 2026.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at the 26 September 2026 cut-off (§8.8; Appendix I); the application's Part B, however, described the remaining activities as documentary and analytical, with no new experimental deployment, so whether the Stage-3B collection falls within the approved scope or requires an amendment is recorded as an open item of the ethics record (Appendix I.7). The application described the procedures of all three stages and the expert consultations as conducted, in a two-part structure that asked the Committee to review and characterise the procedures already conducted and to approve prospectively the remaining documentary and analytical activities. The submitted application record - the research proposal and protocol and the application particulars - is archived with the approval memo and the approval correspondence in the programme's ethics record. The approval memo itself is a one-page project-level approval for the stated period; it does not itemise determinations on the individual consent arrangements described in the application, and an explicit itemised institutional determination on those arrangements is not yet part of the record.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Stage 1–3 procedures as conducted and described in this section; whether it also covers the Stage-3B collection is the open item stated above.</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administered form and anchors await archival confirmation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at the 26 September 2026 cut-off in §8.8.</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at the 26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Earlier drafts described the interviewed sample as aged 65–88, but no per-respondent Stage-1 response file has yet been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until the response file is archived.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are computed on all 200 respondents.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is listed as Appendix G, item G.1).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with sub-centimetre spatial resolution and sub-second temporal resolution.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to be recorded in the build-lineage matrix (Appendix G, item G.0A; §5.3.5), and no operational claim is made for it until that row is entered.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at the 26 September 2026 cut-off that record contains no clean-run returns, so the thresholds' effects on performance, burden and return remain unexamined. Which of the six stages operated live in the deployed Stage-2 build, which were exercised only against synthetic profiles (§5.3.7, §5.3.9), and which remain proposed (§5.3.10) is recorded per build generation in the build-lineage matrix (Appendix G, item G.0A) as it is completed, together with the G.7 endpoint record; where a function's operational status is not yet documented there, no operational claim is made for it.</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at its 26 September 2026 cut-off (Appendix I), with no clean-run returns on record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administered form and anchors await archival confirmation (Appendix C), cross-tabulated against observed engagement; it is a descriptive association under an as-yet-unverified instrument,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These margins do not identify how many participants simultaneously recorded a score increase and were reported as showing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at the 26 September 2026 cut-off — builds, returns and the reasons the study is no longer used as a test of the adaptive-learning proposal — is compiled in Appendix I; it contains one verified pre-freeze return and no clean-run returns,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an outstanding author record at the 26 September 2026 cut-off and is not reproduced in this thesis: Appendix B states the scheme's structure only and defers the item-level codebook, weights and thresholds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achieved record at the 26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on file (a 4 August 2026 reconstruction of the March–April participant invitation)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Each participant received the HTML build by e-mail and played on their own computer, with a trackpad or arrow keys, or a foot-pad sensor where one was available; supervision of play was not required (unlike the therapist-supervised Stage-2 sessions); by the author's account, some older participants played on a tablet with a research assistant beside them to help operate the device without playing on their behalf, with input by keyboard on the same archived build (which has no touch controls); the number of such sessions and the participants concerned were not recorded, so assistance cannot be linked to individual records.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distribution and return e-mail record (Appendix G, item G.5) is the designated vehicle for that invitation-and-return accounting; its de-identified index of dates, channels and returned files remains to be compiled from the retained e-mails.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before five attempts were completed under the game's five-attempt rule (§5.3.2); the aggregate register labels this outcome 'dropped out before completing 5 attempts'.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 subsequently logged completed session after an initial dropout.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The participant-level compilation into the logbook (Appendix G, item G.3), whose telemetry schema includes a session-date field, is the vehicle for stating that rule and per-participant observation timelines from the returned files, where those files record session dates; until it is complete, the dropout and return counts are reported as compiled, subject to this definitional limit.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achieved record at the 26 September 2026 cut-off is documented in §8.8 without any adaptive-learning result.</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carried a partial calibration implementation, yet non-return occurred while the frame and target links were untreated; and the Stage-3 package addressed the target link — not alone, but within a multi-component redesign that simultaneously changed platform, setting, supervision and cohort (§6.3) — and was associated with restored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zero-failure presentation appears above as the element P1 and P3 share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at the 26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a researcher self-test, near ceiling and on course forms whose equivalence was not established (§8.8; Appendix 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yet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voluntary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a recorded symptom-improvement entry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at its 26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at its 26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achieved sustained end-of-window participation in its cohort,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26 September 2026 and compiled in Appendix I.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no clean-run return.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(recorded in the thesis repository), Stage 3B is no longer used to determine whether an adaptive-learning process occurs in the AI-enabled zero-failure game mechanism. Its results form no part of the evidence presented in this thesis; no confirmatory analysis is reported; and no cell is left open for later completion.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Batch 01; the policy does not train any model's weights, so it is neither reinforcement learning from human feedback nor a comparable training method. Batch 01 comprises ten exports from five stored player codes, all labelled researcher self-test with identities unverified; it documents a traceable feedback-to-decision-to-settings mechanism and five paired opening–closing fixed-course checks within visits (across four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de-identified Stage-2 participant dataset (Appendix G, item G.2); the Stage-3 data logbook with its codebook, participant-level sheets, aggregate results and reconciliation harness (item G.3); the photographic and screenshot record (items G.4 and G.6); the AI prompt-template archive with the deployed endpoint and run-time settings (item G.7); the labelled synthetic pipeline-test workbook (item G.8); the further supplementary items listed in Appendix G; and the instrument documentation of Appendices A, C and D, whose completeness the third boundary below states exactly. Pending, and tracked in the Appendix G source-to-result manifest (item G.0) and build-lineage matrix (item G.0A) until the corresponding archive records land, are the cleaned Stage-1 survey response file (item G.1); the de-identified Stage-3 distribution and return e-mail index (item G.5), which remains to be compiled from the retained e-mails; the completed manifest and lineage rows themselves — including code versions, hardware, input devices and the cleaning and derivation scripts behind each output table — together with the Stage-2 session-level telemetry and AI-call logs, which will either be archived with items G.2 and G.7 or have their non-retention stated in one disclosed sentence; the archival scans of the completed Stage-2 interview forms and after-game questionnaire sheets (Appendix C); and the written consent for the item G.10 demonstration videos. The Stage-3B record at its 26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The Stage-2 session-level game telemetry and AI-call logs are the one part of this record whose retention is still being established: Layer 3 had the capability to log them, but capability is not evidence, and the corresponding claims stand only on what is actually deposited. [AUTHOR INPUT NEEDED: archive the retained Stage-2 telemetry and AI-call logs against G.2/G.7, or state in one sentence that they were not retained.]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remain to be filed; and Appendix D reproduces the two Stage-3 items in the working record's five-point format, with the as-administered response format and the exact bilingual wording awaiting confirmation against the original instrument.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at the 26 September 2026 cut-off comprises one verified return, five researcher-solicited returns excluded on verification, no clean-run returns,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(stated at the 26 September 2026 cut-off)</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no clean-run returns on record at the 26 September 2026 cut-off;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The Stage 3B row records that study at its 26 September 2026 cut-off (§8.8; Appendix I).</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at the 26 September 2026 cut-off (§8.8; Appendix I); separate framing comparison proposed</w:t>
            </w:r>
          </w:p>
        </w:tc>
        <w:tc>
          <w:tcPr>
            <w:tcW w:w="1796" w:type="dxa"/>
          </w:tcPr>
          <w:p>
            <w:r>
              <w:t>Proposed; complete framework and progress specification not yet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zero-failure versus game-over factor of the Stage 3B component study had no clean-run returns on record at the 26 September 2026 cut-off;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its returns on record at the 26 September 2026 cut-off do not support a comparison;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at the 26 September 2026 cut-off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[Vendor press release: connected-device data collection with transmission to remote caregivers when values fall outside the normal range; used to identify functions, not to establish effectiveness].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 The Stage-3B component study used a four-item in-build questionnaire whose D2 item ('I would be willing to play this game regularly.') differs in wording from the Stage-3 D2; its one pre-specified contrast, defined on that item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 Stage-3B artifacts (items G.12–G.13; Appendix I) enter the manifest as descriptive-record rows: they feed no result table outside Appendix I, whose tables are descriptive record only.]</w:t>
      </w:r>
    </w:p>
    <w:p>
      <w:pPr>
        <w:jc w:val="both"/>
      </w:pPr>
      <w:r>
        <w:t>G.0A Build-lineage matrix. [AUTHOR INPUT NEEDED: one version-controlled row per build generation - 2024 control demonstration, deployed Stage-2 build, Stage-3 HTML port, v2.x successor builds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 The v3.x Stage-3B row is entered here from the version-controlled repository record. Dates and identifiers: mini-protocol drafted and amended 8 August 2026; the single-file bilingual build v3.0 first committed 9 August 2026 (06:09); the five deployed device copies (Alpine3B_DEV1–DEV5.html) committed 9 August 2026 (07:09), adding the randomised 2×2 assignment (adaptive/static × zero-failure/game-over); the pre-specified analysis hierarchy committed 9 August 2026 (07:20); recruitment pitch sent 9 August 2026 (15:42); distributions 10–12 August 2026; first verified participant return 15 August 2026; v3.1 revisions (gains-only scoring, run-end CSV export, input-mode logging) committed 13 August 2026; study edition frozen 15 September 2026 (build stamp Alpine_Coordination_Game_v3.1s_Stage3B_FROZEN20260915; twenty distributor-tagged copies D01–D20, hosted on GitHub Pages; clean-run window 15 September–15 October 2026; Appendix I). The Pro v4.1 self-test edition (Batch 01, 19–20 September 2026) is recorded as a separate Pro development entry — researcher self-test only, not the frozen study build (Appendix I.5). Hardware and input: participants' own phones and computers running the distributed HTML file, with keyboard/arrow-key and touch input and a WeChat in-app browser mode. Functionality present, from code inspection of the deployed copies: the adaptive arm runs the build's built-in rule agent (step up above an 80% avoid rate, ease off below 40%) with coaching enabled — an adaptive-support package rather than difficulty adjustment alone; an optional model-call path exists but is off by default, the file embeds no API credential, and the code falls back to the rule agent when a call fails — each difficulty decision is logged with its source (rules, model or fallback); the static arm holds a fixed ×0.85 multiplier with coaching suppressed. Logging capability versus retained logs: each copy writes enrolment, per-run state and questionnaire records locally in the participant's browser and returns nothing automatically — records reach the study only through the participant's own export (message-text return with copy and file-save fallbacks; the 13 August v3.1 revision added a run-end CSV export) — so the retained logs are the returns on record at the 26 September 2026 cut-off: one verified return (15 August 2026), five returns received 15 September 2026 and excluded on verification, and no clean-run return (Appendix I). The participant-to-device-copy mapping is recorded for those returns only; no further mapping is claimed.</w:t>
      </w:r>
      <w:r>
        <w:rPr>
          <w:highlight w:val="yellow"/>
        </w:rPr>
      </w:r>
    </w:p>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the stated cut-off: bound with the thesis, pending (tracked in items G.0 and G.0A and in §8.9), or not retained.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and return e-mail record (de-identified index of dates, channels and returned files).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r>
        <w:t>G.12  Stage-3B component-study record at the 26 September 2026 cut-off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verification findings for the five excluded returns of 15 September 2026; and the dated decision record of 26 September 2026.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with participant identities unverified; archived as a Pro development record (Appendix I.5), not as participant data. The ten raw exports, the derived workbooks and the extraction scripts named in the reports had not been deposited at the cut-off (Appendix I.7).</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at the 26 September 2026 Cut-off</w:t>
      </w:r>
    </w:p>
    <w:p>
      <w:pPr>
        <w:pStyle w:val="Heading3"/>
      </w:pPr>
      <w:r>
        <w:t>I.1 · Status and Scope</w:t>
      </w:r>
    </w:p>
    <w:p>
      <w:pPr/>
      <w:r>
        <w:t>This appendix records the Stage-3B component study as it stood at a stated cut-off, 26 September 2026. It is a descriptive record, not a results chapter. The examiner-style report of 15 September 2026 on V42 stated that "the completed thesis can present a settled account of this ongoing programme at a stated cut-off" and that open results cells and author-input stubs should be removed if the study remains outside the evidence base; the author's decision of 26 September 2026 (recorded in the thesis repository as a dated decision note, Appendix G item G.12) took that course.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and excluded (I.4); and a separate researcher self-test batch on the Pro v4.1 build (I.5). No confirmatory analysis is reported, no arm contrast is computed, and no cell is left open for later completion. Stage 3B was pre-specified by repository-dated records of 8–9 August 2026; it was not registered in an external registry, and the term "pre-registered" is not used for it. The record is stated at the cut-off: the frozen edition's clean-run window (15 September – 15 October 2026) is neither reopened nor extended here, and the thesis makes no provision for returns received after the cut-off; any such return is archived as received and could be reported only as a dated addendum outside the thesis evidence base. Nothing in this appendix feeds a result table in the main text.</w:t>
      </w:r>
    </w:p>
    <w:p>
      <w:pPr>
        <w:pStyle w:val="FigureCaption"/>
      </w:pPr>
      <w:r>
        <w:t>Table I.1. Status of the Stage-3B record at the 26 September 2026 cut-off.</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None on record at 26 Sep 2026 (freeze-record clean-run window 15 Sep–15 Oct 2026, stated at the cut-off and not extended; see I.1)</w:t>
            </w:r>
          </w:p>
        </w:tc>
        <w:tc>
          <w:tcPr>
            <w:tcW w:type="dxa" w:w="2304"/>
          </w:tcPr>
          <w:p>
            <w:r/>
            <w:r>
              <w:rPr>
                <w:sz w:val="17"/>
              </w:rPr>
              <w:t>stage3b_returns/ (only B9V8YA);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w:t>
            </w:r>
          </w:p>
        </w:tc>
        <w:tc>
          <w:tcPr>
            <w:tcW w:type="dxa" w:w="4320"/>
          </w:tcPr>
          <w:p>
            <w:r/>
            <w:r>
              <w:rPr>
                <w:sz w:val="17"/>
              </w:rPr>
              <w:t>Ten exports, 19–20 Sep 2026; two descriptive reports dated 20 Sep, archived as received 26 Sep; raw exports not yet deposited</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As the examiner noted,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PENDING_ITEMS.md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 V42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26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(6ef4f3f per PENDING_ITEMS A10b)</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Batch 01: five stored codes, 12 visits, 19–20 Sep</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cut-off; 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bl>
    <w:p>
      <w:pPr/>
      <w:r/>
    </w:p>
    <w:p>
      <w:pPr>
        <w:jc w:val="center"/>
      </w:pPr>
      <w:r>
        <w:drawing>
          <wp:inline>
            <wp:extent cx="5486400" cy="2821577"/>
            <wp:docPr id="41" name="Picture 41"/>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21577"/>
                    </a:xfrm>
                    <a:prstGeom prst="rect"/>
                  </pic:spPr>
                </pic:pic>
              </a:graphicData>
            </a:graphic>
          </wp:inline>
        </w:drawing>
      </w:r>
    </w:p>
    <w:p>
      <w:pPr>
        <w:pStyle w:val="FigureCaption"/>
      </w:pPr>
      <w:r>
        <w:t>Figure I.1. Repository-dated events for Stage 3B. Builds (top), distribution (middle) and returns (bottom). The clean-run window opened 15 September 2026; no return stamped FROZEN20260915 is on record at the 26 September cut-off. Dates are UTC as recorded in the repository; the recruitment pitch time is local.</w:t>
      </w:r>
    </w:p>
    <w:p>
      <w:pPr>
        <w:pStyle w:val="Heading3"/>
      </w:pPr>
      <w:r>
        <w:t>I.4 · Returns on Record</w:t>
      </w:r>
    </w:p>
    <w:p>
      <w:pPr/>
      <w:r>
        <w:t>At the cut-off the returns record comprises one verified participant return, five returns received on 15 September 2026 and excluded, and no clean-run return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to be stripped and are not reproduced here. Their permitted use is build-functionality verification of the 13 August generation only. Clean-run returns carrying the FROZEN20260915 stamp: none on record at 26 September 2026 (the returns folder holds only B9V8YA; the most recent commit to either returns folder is dated 15 September 2026 (pending-verification folder; the verified-return folder's last commit is 13 September 2026)).</w:t>
      </w:r>
    </w:p>
    <w:p>
      <w:pPr>
        <w:pStyle w:val="FigureCaption"/>
      </w:pPr>
      <w:r>
        <w:t>Table I.4. Stage-3B participant returns on record at 26 September 2026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Clean run (FROZEN20260915)</w:t>
            </w:r>
          </w:p>
        </w:tc>
        <w:tc>
          <w:tcPr>
            <w:tcW w:type="dxa" w:w="1440"/>
          </w:tcPr>
          <w:p>
            <w:r/>
            <w:r>
              <w:rPr>
                <w:sz w:val="15"/>
              </w:rPr>
              <w:t>—</w:t>
            </w:r>
          </w:p>
        </w:tc>
        <w:tc>
          <w:tcPr>
            <w:tcW w:type="dxa" w:w="1728"/>
          </w:tcPr>
          <w:p>
            <w:r/>
            <w:r>
              <w:rPr>
                <w:sz w:val="15"/>
              </w:rPr>
              <w:t>Frozen study edition</w:t>
            </w:r>
          </w:p>
        </w:tc>
        <w:tc>
          <w:tcPr>
            <w:tcW w:type="dxa" w:w="864"/>
          </w:tcPr>
          <w:p>
            <w:r/>
            <w:r>
              <w:rPr>
                <w:sz w:val="15"/>
              </w:rPr>
              <w:t>D01–D20 / DEV1–DEV5</w:t>
            </w:r>
          </w:p>
        </w:tc>
        <w:tc>
          <w:tcPr>
            <w:tcW w:type="dxa" w:w="1008"/>
          </w:tcPr>
          <w:p>
            <w:r/>
            <w:r>
              <w:rPr>
                <w:sz w:val="15"/>
              </w:rPr>
              <w:t>—</w:t>
            </w:r>
          </w:p>
        </w:tc>
        <w:tc>
          <w:tcPr>
            <w:tcW w:type="dxa" w:w="1944"/>
          </w:tcPr>
          <w:p>
            <w:r/>
            <w:r>
              <w:rPr>
                <w:sz w:val="15"/>
              </w:rPr>
              <w:t>Mode A distributor-forwarded or Mode B participant e-mail (rule)</w:t>
            </w:r>
          </w:p>
        </w:tc>
        <w:tc>
          <w:tcPr>
            <w:tcW w:type="dxa" w:w="2016"/>
          </w:tcPr>
          <w:p>
            <w:r/>
            <w:r>
              <w:rPr>
                <w:sz w:val="15"/>
              </w:rPr>
              <w:t>No return on record at 26 Sep 2026</w:t>
            </w:r>
          </w:p>
        </w:tc>
      </w:tr>
    </w:tbl>
    <w:p>
      <w:pPr/>
      <w:r/>
    </w:p>
    <w:p>
      <w:pPr>
        <w:pStyle w:val="Heading3"/>
      </w:pPr>
      <w:r>
        <w:t>I.5 · Stage-3B Pro v4.1 Researcher Self-Test, Batch 01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Batch 01; the package states that it calls an existing model and does not train its weights, and it is not RLHF or RLCD. Automated checks (29 passed) verified software behaviour with stubbed browser components, not learner outcomes.</w:t>
      </w:r>
    </w:p>
    <w:p>
      <w:pPr/>
      <w:r>
        <w:t>Batch 01 comprises ten exports made on 19–20 September 2026 (seven JSON files for two codes; three CSV files for three codes; Tables I.5–I.7). Deduplication reduced 81 run appearances to 42 distinct runs across five stored player codes and twelve software-recorded visits. All files carry researcher-self-test metadata; the number of actual individuals, their identity across visits and the consent basis are not established by the files. Ten answered feedback records link to ten applied decisions and ten subsequent runs, and all ten pass the identity-linkage, performance-input, chronology and applied-settings checks (Table I.8; Figure I.2); seven final decisions were local-rule outputs and three were player overrides; the cloud status of every decision is not_requested.</w:t>
      </w:r>
    </w:p>
    <w:p>
      <w:pPr/>
      <w:r>
        <w:t>Five opening–closing fixed-course pairs exist across four codes (Table I.9; Figure I.3): changes of −10, +5, −5, 0 and +10 percentage points. Each pair uses pace ×0.85, 20 obstacles, a 30-second planned duration and the same input mode, but the opening and closing course forms differ (7043 versus 7043m; 7051m versus 7051) and their equivalence is not established. The six first-visit questionnaire items (Table I.10) show D2 median 4 (range 3–4) and T1 median 3 (range 2–3); F1 was 4 for every code.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
              <w:rPr>
                <w:sz w:val="17"/>
              </w:rPr>
              <w:t>5</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
              <w:rPr>
                <w:sz w:val="17"/>
              </w:rPr>
              <w:t>12</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
              <w:rPr>
                <w:sz w:val="17"/>
              </w:rPr>
              <w:t>42</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
              <w:rPr>
                <w:sz w:val="17"/>
              </w:rPr>
              <w:t>17</w:t>
            </w:r>
          </w:p>
        </w:tc>
        <w:tc>
          <w:tcPr>
            <w:tcW w:type="dxa" w:w="4176"/>
          </w:tcPr>
          <w:p>
            <w:r/>
            <w:r>
              <w:rPr>
                <w:sz w:val="17"/>
              </w:rPr>
              <w:t>"10 answered; 7 explicitly skipped"</w:t>
            </w:r>
          </w:p>
        </w:tc>
      </w:tr>
      <w:tr>
        <w:tc>
          <w:tcPr>
            <w:tcW w:type="dxa" w:w="2592"/>
          </w:tcPr>
          <w:p>
            <w:r/>
            <w:r>
              <w:rPr>
                <w:sz w:val="17"/>
              </w:rPr>
              <w:t>Applied decisions</w:t>
            </w:r>
          </w:p>
        </w:tc>
        <w:tc>
          <w:tcPr>
            <w:tcW w:type="dxa" w:w="2592"/>
          </w:tcPr>
          <w:p>
            <w:r/>
            <w:r>
              <w:rPr>
                <w:sz w:val="17"/>
              </w:rPr>
              <w:t>10</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
              <w:rPr>
                <w:sz w:val="17"/>
              </w:rPr>
              <w:t>5 visits / 4 codes</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
              <w:rPr>
                <w:sz w:val="17"/>
              </w:rPr>
              <w:t>18.38 minutes</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
              <w:rPr>
                <w:sz w:val="17"/>
              </w:rPr>
              <w:t>38 runs v4.1; 4 runs v4.1.1 (P8P2Z9 visit 4)</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
              <w:rPr>
                <w:sz w:val="17"/>
              </w:rPr>
              <w:t>932 encountered obstacles, 51 hits</w:t>
            </w:r>
          </w:p>
        </w:tc>
        <w:tc>
          <w:tcPr>
            <w:tcW w:type="dxa" w:w="4176"/>
          </w:tcPr>
          <w:p>
            <w:r/>
            <w:r>
              <w:rPr>
                <w:sz w:val="17"/>
              </w:rPr>
              <w:t>"reconcile to the per-obstacle telemetry" (source-consistency check)</w:t>
            </w:r>
          </w:p>
        </w:tc>
      </w:tr>
    </w:tbl>
    <w:p>
      <w:pPr/>
      <w:r/>
    </w:p>
    <w:p>
      <w:pPr>
        <w:pStyle w:val="FigureCaption"/>
      </w:pPr>
      <w:r>
        <w:t>Table I.6. Record-level coverage per stored code (Batch 01).</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bl>
    <w:p>
      <w:pPr/>
      <w:r/>
    </w:p>
    <w:p>
      <w:pPr>
        <w:pStyle w:val="FigureCaption"/>
      </w:pPr>
      <w:r>
        <w:t>Table I.8. Decision audit: the ten feedback → proposal → applied-settings chains (two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bl>
    <w:p>
      <w:pPr/>
      <w:r/>
    </w:p>
    <w:p>
      <w:pPr>
        <w:jc w:val="center"/>
      </w:pPr>
      <w:r>
        <w:drawing>
          <wp:inline>
            <wp:extent cx="5120640" cy="3138457"/>
            <wp:docPr id="42" name="Picture 42"/>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(ten chains, two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bl>
    <w:p>
      <w:pPr/>
      <w:r/>
    </w:p>
    <w:p>
      <w:pPr>
        <w:jc w:val="center"/>
      </w:pPr>
      <w:r>
        <w:drawing>
          <wp:inline>
            <wp:extent cx="4937760" cy="3504217"/>
            <wp:docPr id="43" name="Picture 43"/>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Batch 01 (five pairs, four stored codes;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
              <w:rPr>
                <w:sz w:val="17"/>
              </w:rPr>
              <w:t>5 / 0</w:t>
            </w:r>
          </w:p>
        </w:tc>
        <w:tc>
          <w:tcPr>
            <w:tcW w:type="dxa" w:w="864"/>
          </w:tcPr>
          <w:p>
            <w:r/>
            <w:r>
              <w:rPr>
                <w:sz w:val="17"/>
              </w:rPr>
              <w:t>4</w:t>
            </w:r>
          </w:p>
        </w:tc>
        <w:tc>
          <w:tcPr>
            <w:tcW w:type="dxa" w:w="864"/>
          </w:tcPr>
          <w:p>
            <w:r/>
            <w:r>
              <w:rPr>
                <w:sz w:val="17"/>
              </w:rPr>
              <w:t>3–5</w:t>
            </w:r>
          </w:p>
        </w:tc>
        <w:tc>
          <w:tcPr>
            <w:tcW w:type="dxa" w:w="1296"/>
          </w:tcPr>
          <w:p>
            <w:r/>
            <w:r>
              <w:rPr>
                <w:sz w:val="17"/>
              </w:rPr>
              <w:t>4/5</w:t>
            </w:r>
          </w:p>
        </w:tc>
      </w:tr>
      <w:tr>
        <w:tc>
          <w:tcPr>
            <w:tcW w:type="dxa" w:w="576"/>
          </w:tcPr>
          <w:p>
            <w:r/>
            <w:r>
              <w:rPr>
                <w:sz w:val="17"/>
              </w:rPr>
              <w:t>D2</w:t>
            </w:r>
          </w:p>
        </w:tc>
        <w:tc>
          <w:tcPr>
            <w:tcW w:type="dxa" w:w="3744"/>
          </w:tcPr>
          <w:p>
            <w:r/>
            <w:r>
              <w:rPr>
                <w:sz w:val="17"/>
              </w:rPr>
              <w:t>I would be willing to play this game regularly.</w:t>
            </w:r>
          </w:p>
        </w:tc>
        <w:tc>
          <w:tcPr>
            <w:tcW w:type="dxa" w:w="1296"/>
          </w:tcPr>
          <w:p>
            <w:r/>
            <w:r>
              <w:rPr>
                <w:sz w:val="17"/>
              </w:rPr>
              <w:t>5 / 0</w:t>
            </w:r>
          </w:p>
        </w:tc>
        <w:tc>
          <w:tcPr>
            <w:tcW w:type="dxa" w:w="864"/>
          </w:tcPr>
          <w:p>
            <w:r/>
            <w:r>
              <w:rPr>
                <w:sz w:val="17"/>
              </w:rPr>
              <w:t>4</w:t>
            </w:r>
          </w:p>
        </w:tc>
        <w:tc>
          <w:tcPr>
            <w:tcW w:type="dxa" w:w="864"/>
          </w:tcPr>
          <w:p>
            <w:r/>
            <w:r>
              <w:rPr>
                <w:sz w:val="17"/>
              </w:rPr>
              <w:t>3–4</w:t>
            </w:r>
          </w:p>
        </w:tc>
        <w:tc>
          <w:tcPr>
            <w:tcW w:type="dxa" w:w="1296"/>
          </w:tcPr>
          <w:p>
            <w:r/>
            <w:r>
              <w:rPr>
                <w:sz w:val="17"/>
              </w:rPr>
              <w:t>3/5</w:t>
            </w:r>
          </w:p>
        </w:tc>
      </w:tr>
      <w:tr>
        <w:tc>
          <w:tcPr>
            <w:tcW w:type="dxa" w:w="576"/>
          </w:tcPr>
          <w:p>
            <w:r/>
            <w:r>
              <w:rPr>
                <w:sz w:val="17"/>
              </w:rPr>
              <w:t>F1</w:t>
            </w:r>
          </w:p>
        </w:tc>
        <w:tc>
          <w:tcPr>
            <w:tcW w:type="dxa" w:w="3744"/>
          </w:tcPr>
          <w:p>
            <w:r/>
            <w:r>
              <w:rPr>
                <w:sz w:val="17"/>
              </w:rPr>
              <w:t>The game matched my ability.</w:t>
            </w:r>
          </w:p>
        </w:tc>
        <w:tc>
          <w:tcPr>
            <w:tcW w:type="dxa" w:w="1296"/>
          </w:tcPr>
          <w:p>
            <w:r/>
            <w:r>
              <w:rPr>
                <w:sz w:val="17"/>
              </w:rPr>
              <w:t>5 / 0</w:t>
            </w:r>
          </w:p>
        </w:tc>
        <w:tc>
          <w:tcPr>
            <w:tcW w:type="dxa" w:w="864"/>
          </w:tcPr>
          <w:p>
            <w:r/>
            <w:r>
              <w:rPr>
                <w:sz w:val="17"/>
              </w:rPr>
              <w:t>4</w:t>
            </w:r>
          </w:p>
        </w:tc>
        <w:tc>
          <w:tcPr>
            <w:tcW w:type="dxa" w:w="864"/>
          </w:tcPr>
          <w:p>
            <w:r/>
            <w:r>
              <w:rPr>
                <w:sz w:val="17"/>
              </w:rPr>
              <w:t>4–4</w:t>
            </w:r>
          </w:p>
        </w:tc>
        <w:tc>
          <w:tcPr>
            <w:tcW w:type="dxa" w:w="1296"/>
          </w:tcPr>
          <w:p>
            <w:r/>
            <w:r>
              <w:rPr>
                <w:sz w:val="17"/>
              </w:rPr>
              <w:t>5/5</w:t>
            </w:r>
          </w:p>
        </w:tc>
      </w:tr>
      <w:tr>
        <w:tc>
          <w:tcPr>
            <w:tcW w:type="dxa" w:w="576"/>
          </w:tcPr>
          <w:p>
            <w:r/>
            <w:r>
              <w:rPr>
                <w:sz w:val="17"/>
              </w:rPr>
              <w:t>F2</w:t>
            </w:r>
          </w:p>
        </w:tc>
        <w:tc>
          <w:tcPr>
            <w:tcW w:type="dxa" w:w="3744"/>
          </w:tcPr>
          <w:p>
            <w:r/>
            <w:r>
              <w:rPr>
                <w:sz w:val="17"/>
              </w:rPr>
              <w:t>Seeing my progress made me want to continue.</w:t>
            </w:r>
          </w:p>
        </w:tc>
        <w:tc>
          <w:tcPr>
            <w:tcW w:type="dxa" w:w="1296"/>
          </w:tcPr>
          <w:p>
            <w:r/>
            <w:r>
              <w:rPr>
                <w:sz w:val="17"/>
              </w:rPr>
              <w:t>5 / 0</w:t>
            </w:r>
          </w:p>
        </w:tc>
        <w:tc>
          <w:tcPr>
            <w:tcW w:type="dxa" w:w="864"/>
          </w:tcPr>
          <w:p>
            <w:r/>
            <w:r>
              <w:rPr>
                <w:sz w:val="17"/>
              </w:rPr>
              <w:t>3</w:t>
            </w:r>
          </w:p>
        </w:tc>
        <w:tc>
          <w:tcPr>
            <w:tcW w:type="dxa" w:w="864"/>
          </w:tcPr>
          <w:p>
            <w:r/>
            <w:r>
              <w:rPr>
                <w:sz w:val="17"/>
              </w:rPr>
              <w:t>3–5</w:t>
            </w:r>
          </w:p>
        </w:tc>
        <w:tc>
          <w:tcPr>
            <w:tcW w:type="dxa" w:w="1296"/>
          </w:tcPr>
          <w:p>
            <w:r/>
            <w:r>
              <w:rPr>
                <w:sz w:val="17"/>
              </w:rPr>
              <w:t>2/5</w:t>
            </w:r>
          </w:p>
        </w:tc>
      </w:tr>
      <w:tr>
        <w:tc>
          <w:tcPr>
            <w:tcW w:type="dxa" w:w="576"/>
          </w:tcPr>
          <w:p>
            <w:r/>
            <w:r>
              <w:rPr>
                <w:sz w:val="17"/>
              </w:rPr>
              <w:t>C1</w:t>
            </w:r>
          </w:p>
        </w:tc>
        <w:tc>
          <w:tcPr>
            <w:tcW w:type="dxa" w:w="3744"/>
          </w:tcPr>
          <w:p>
            <w:r/>
            <w:r>
              <w:rPr>
                <w:sz w:val="17"/>
              </w:rPr>
              <w:t>I felt I was getting better at this game.</w:t>
            </w:r>
          </w:p>
        </w:tc>
        <w:tc>
          <w:tcPr>
            <w:tcW w:type="dxa" w:w="1296"/>
          </w:tcPr>
          <w:p>
            <w:r/>
            <w:r>
              <w:rPr>
                <w:sz w:val="17"/>
              </w:rPr>
              <w:t>4 / 1</w:t>
            </w:r>
          </w:p>
        </w:tc>
        <w:tc>
          <w:tcPr>
            <w:tcW w:type="dxa" w:w="864"/>
          </w:tcPr>
          <w:p>
            <w:r/>
            <w:r>
              <w:rPr>
                <w:sz w:val="17"/>
              </w:rPr>
              <w:t>4</w:t>
            </w:r>
          </w:p>
        </w:tc>
        <w:tc>
          <w:tcPr>
            <w:tcW w:type="dxa" w:w="864"/>
          </w:tcPr>
          <w:p>
            <w:r/>
            <w:r>
              <w:rPr>
                <w:sz w:val="17"/>
              </w:rPr>
              <w:t>1–5</w:t>
            </w:r>
          </w:p>
        </w:tc>
        <w:tc>
          <w:tcPr>
            <w:tcW w:type="dxa" w:w="1296"/>
          </w:tcPr>
          <w:p>
            <w:r/>
            <w:r>
              <w:rPr>
                <w:sz w:val="17"/>
              </w:rPr>
              <w:t>3/4</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
              <w:rPr>
                <w:sz w:val="17"/>
              </w:rPr>
              <w:t>5 / 0</w:t>
            </w:r>
          </w:p>
        </w:tc>
        <w:tc>
          <w:tcPr>
            <w:tcW w:type="dxa" w:w="864"/>
          </w:tcPr>
          <w:p>
            <w:r/>
            <w:r>
              <w:rPr>
                <w:sz w:val="17"/>
              </w:rPr>
              <w:t>3</w:t>
            </w:r>
          </w:p>
        </w:tc>
        <w:tc>
          <w:tcPr>
            <w:tcW w:type="dxa" w:w="864"/>
          </w:tcPr>
          <w:p>
            <w:r/>
            <w:r>
              <w:rPr>
                <w:sz w:val="17"/>
              </w:rPr>
              <w:t>2–3</w:t>
            </w:r>
          </w:p>
        </w:tc>
        <w:tc>
          <w:tcPr>
            <w:tcW w:type="dxa" w:w="1296"/>
          </w:tcPr>
          <w:p>
            <w:r/>
            <w:r>
              <w:rPr>
                <w:sz w:val="17"/>
              </w:rPr>
              <w:t>0/5</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is a single 30-second run in one cell.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mean of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Batch 01 exports labelled researcher self-test;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yet part of the record.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ethics-scope gate for Stage 3B was closed in the working record on the basis that the approval period covers the window and the memo carries no completion or no-new-collection statement. The submitted application's Part B, however, states that "the remaining activities are documentary and analytical; no new experimental deployment is planned within this project", and the examiner's report asks that the scope be verified against the approved protocol or an amendment, observing that "the chronology alone proves neither approval nor non-approval". Whether the Stage-3B collection falls within the approved scope or requires an amendment is therefore recorded as an open item of the ethics record (§3.4), and no clarification or amendment is on file at the cut-off.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Batch 01 exports carry self-test metadata with participant release false or not asserted. Two of the five excluded returns arrived with personal names in their file names (resolved in the verification record as distributor labels, not player identities), contrary to the anonymous protocol; the names are not reproduced in the thesis and are to be stripped from the archive copies.</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ten raw Batch 01 exports, the derived workbooks and the extraction scripts named in the two reports had not been deposited at the cut-off; the two reports themselves are archived as received (26 September 2026; item G.13). The identity of the sender of the verified return relative to the DEV2 distributor is an open clarification that does not affect the return's authenticity. The synthetic demonstration dataset under docs/thesis/stage3b/demo/ is watermarked SYNTHETIC and is never evidence.</w:t>
      </w:r>
    </w:p>
    <w:p>
      <w:pPr/>
      <w:r>
        <w:t>Outstanding deposits and author records at the cut-off (tracked in the working file, entry A15): the ten raw Batch 01 exports with their SHA-256 list, the derived logbook and analysis workbooks and the extraction scripts named in the two reports; the v4.1.1 build file behind the four P8P2Z9 visit-4 runs and the remaining Pro v4.1 package files; a dated self-test roster stating which stored code was played in which role and on which device, with the consent basis for those sessions; a dated statement of how many distributor tags were issued, to how many distributors and on which dates (the tag-to-distributor list itself stays outside the archive); a clean-run log at the cut-off, including a dated statement that no return was received; the supervisor's protocol sign-off record for Stage 3B, or a dated statement of what was agreed instead; the institutional clarification of Stage-3B scope described above; and the renamed archive copies of the two excluded returns whose file names carry personal names.</w:t>
      </w:r>
    </w:p>
    <w:p>
      <w:pPr>
        <w:pStyle w:val="Heading1"/>
        <w:pageBreakBefore/>
      </w:pPr>
      <w:r>
        <w:rPr>
          <w:color w:val="000000"/>
        </w:rPr>
        <w:t>Author completion checklist</w:t>
      </w:r>
    </w:p>
    <w:p>
      <w:pPr>
        <w:pageBreakBefore/>
      </w:pPr>
      <w:r>
        <w:rPr>
          <w:color w:val="000000"/>
        </w:rPr>
        <w:t>V44 - 27 September 2026 (consistency patch with Paper 3 R7). Three factual corrections from the Stage-3 record: §3.2 and §6.4 no longer state that the game's instructions carried no medical or fall-prevention language — the participant invitation on file (a 4 August 2026 reconstruction) opens with falls and balance training and discloses the FRA origin, so the decoupling is stated as artefact-level; §6.4 states the author's account of 27 September 2026 that supervision was not required and that some older participants had a research assistant beside them to help operate a tablet (sessions not recorded individually); §3.4 names the invitation alongside the distribution e-mails as the consent channel, with the reconstruction caveat. Open decision (author and supervisor): Paper 3 R7 withdraws the end-of-window retention figure and reports only compiled classifications, whereas §6.4–§6.5, Tables 6.1–6.3, §9.3 and the abstract still report retention 93.3%/85.4% as a compiled classification with its timing caveat; the two documents differ in claim level, not in counts.</w:t>
      </w:r>
    </w:p>
    <w:p>
      <w:pPr>
        <w:pageBreakBefore/>
      </w:pPr>
      <w:r>
        <w:rPr>
          <w:color w:val="000000"/>
        </w:rPr>
        <w:t>V43 - 26 September 2026 (pivot pass; V42 closed 14 September 2026). This pass actions the author's decision of 26 September 2026 to conclude the thesis on the FIAS finding of Stages 1–3A and to treat adaptive learning as a discussion and future-study direction, and it actions the textual items of the updated examination report of 15 September 2026. Stage 3B is reported as a descriptive component-study record at the 26 September 2026 cut-off (new Appendix I with Tables I.1–I.12 and Figures I.1–I.3; Appendix G items G.12–G.13; the G.0A lineage row extended to the frozen study edition of 15 September 2026 and the Pro v4.1 self-test); no confirmatory analysis is reported and no Stage-3B results cell or author-input stub remains in §8.8, Table 3.1A or Table 9.1; passages that promised Stage-3B results or made the adaptive-learning claim depend on them are reframed to the record (§1.8–§1.9, §1.13–§1.14, §2.3.4, §2.6.2C, Tables 2.1–2.3, §3.2, Table 3.1, Table 3.1A, §3.4–§3.6, §5.3.5, §5.3.10, §5.5A, §6.1, §6.8, §7.4, §7.5, §7.9, §8.5.8, §8.6, §8.8–§8.9, §9.1–§9.2, Table 9.1, Table 9.3, §9.5, §9.8A–§9.10, §9.12, Appendices D, E and G); the study is described as pre-specified (repository-dated) throughout and its adaptive arm as a support package. Examiner textual items closed in this pass: §3.4 satisfaction/symptom provenance and Stage-1 consent; §3.4 Stage-3B ethics scope stated as an open item of the record; §5.2A instrument sentence; §5.5–§5.6 terminology and the Appendix B rule statement; §5.6 and §8.6B co-occurrence wording; Table 5.3 coin-loop cell; §2.3.5 sentence repair; §6.4 attempts-versus-sessions unit; abstract and Figures 6.1–6.2 retention qualification; §7.4 taxonomy over-defence; §7.9 adaptive-learning proposition and GrandPad verdict-exposure narrowing (text, Figure 8.1 caption and artwork); §8.5.9 ordinary-attrition wording; Figures 5.1B, 5.2, 5.4 and 5.5 captions with the Figure 5.2 and 5.5 artwork regenerated from the archived counts; Appendix E as-specified labelling; Appendix G status statement; the fused NBS reference split and the Tha et al. entry marked as advance online. The Stage-3B protocol sign-off is no longer a thesis dependency. The remaining marks are confined to items (a), (b), (c) and (e) of the V42 entry below; item (d) is closed. Final production adds Appendix I to the regenerated ToC, List of Figures and List of Tables.</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Figure 8.1's caption and painted artwork are additionally recalibrated to the intended-design-target framing, with the GrandPad functions verified at vendor source (2020 connected-device announcement; 2021 PACE/Element Care release) and the dated vendor references added.  This pass merges the author's 14 September edits, embeds the Stage-3B status in §8.8 and Table 9.1 (designed after Stage 3A; pre-specified, repository-dated 8–9 August 2026; collection commenced August 2026; superseded in V43 by the descriptive record at the 26 September 2026 cut-off, Appendix I), and adds the Stage-3A designation note in §6.1. The examination-driven revision cycle continues; the items below remain open at the stated cut-off.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none for Stage 3B — its cells in §8.8 and Table 9.1 are closed as a descriptive record at the 26 September 2026 cut-off (Appendix I), with no results cell left open; and (e) the Appendix G manifest and build-lineage stubs (G.0, G.0A), which complete as the archive records land. External gates tracked in the working file PENDING_ITEMS.md, outside this document: the SS-293 camera-ready consent check, the supervisor's report and the Stage-3B protocol sign-off (no longer a thesis dependency: no Stage-3B confirmatory analysis is reported).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V44 - 27 September 2026: consistency patch with Paper 3 R7 (invitation vocabulary; supervision; consent channel).</dc:description>
  <cp:lastModifiedBy>TAM, Sidney [Student]</cp:lastModifiedBy>
  <cp:revision>6</cp:revision>
  <cp:lastPrinted>2026-07-11T05:43:00Z</cp:lastPrinted>
  <dcterms:created xsi:type="dcterms:W3CDTF">2026-07-03T09:50:00Z</dcterms:created>
  <dcterms:modified xsi:type="dcterms:W3CDTF">2026-09-27T11:30:00Z</dcterms:modified>
  <cp:category/>
  <cp:version>39</cp:version>
</cp:coreProperties>
</file>