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four clean-run returns received on 29 September 2026 (distributor copy D01; three in the static arm and one in the adaptive arm; three in game-over mode and one in zero-failure mode; three single 30-second sessions and one return of three sessions),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four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ten raw exports, the derived workbooks and the extraction scripts named in the reports are not yet deposited in full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Four received 29 Sep 2026 (BVSU69, B7GRDA, BZ323A, B59AGN; D01; content checks pass); window 15 Sep–15 Oct 2026 closes at the thesis cut-off; later returns to 15 Oct entered in Table I.4 (I.1, I.4)</w:t>
            </w:r>
          </w:p>
        </w:tc>
        <w:tc>
          <w:tcPr>
            <w:tcW w:type="dxa" w:w="2304"/>
          </w:tcPr>
          <w:p>
            <w:r/>
            <w:r>
              <w:rPr>
                <w:sz w:val="17"/>
              </w:rPr>
              <w:t>stage3b_returns/ (B9V8YA; four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four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four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four, played on 29 September 2026, supplied by the author as CSV exports (one saved under an .xls file name) and archived byte for byte with SHA-256. The first three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four returns occupy three of the four cells (arm B with game-over, two; arm A with game-over, one; arm B with zero-failure, one;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four clean-run returns of 29 September 2026 are single 30-second runs, and the fourth holds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are not yet deposited in full;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