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The returns were compiled into the aggregate summary in July 2026 and were not kept separately afterwards.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