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End-of-window retention was 93.3% overall and 85.4% in the 65-80 band among the 120 participants whose returned files were compiled (returned dropouts counted as retained; the invitation denominator and return timing are not recoverable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to 15 October 2026 are documented descriptively in Appendix I and are not used to test the adaptive-learning proposition, which is carried forward as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collected.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(§6.4),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the failure and the stop were observed by an assistant beside them; for others they were inferred from the reported results - a run ending in failure, which was possible before the zero-failure mode was in use - or from not playing a further session after the first game, so a participant who stopped after the first game was counted as an initial dropout even where no failure was recorded.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some returners played the archived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end-of-window retention is its complement over the cohort: a participant who dropped out initially and later returned counts as retained. The single term end-of-window retention is used throughout this chapter for that construct. The chapter therefore reports the aggregate summary compiled from the returns in July 2026 (Appendix G, item G.3); the logbook's participant-level sheets are not populated, so the summary cannot be checked against individual entries.</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validated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(not treated as a validated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AI prompt-template archive with the deployed endpoint and run-time settings (item G.7); the completed manifest and lineage rows themselves, including code versions, hardware, input devices and the cleaning and derivation scripts behind each output table;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validated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validated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