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Thesis Completion Timeline</w:t>
      </w:r>
    </w:p>
    <w:p>
      <w:pPr>
        <w:jc w:val="center"/>
      </w:pPr>
      <w:r>
        <w:rPr>
          <w:i/>
          <w:sz w:val="19"/>
        </w:rPr>
        <w:t>Milestone plan supporting the extension application · August 2026 · Months are relative to the grant of extension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Work content</w:t>
            </w:r>
          </w:p>
        </w:tc>
      </w:tr>
      <w:tr>
        <w:tc>
          <w:tcPr>
            <w:tcW w:type="dxa" w:w="2880"/>
          </w:tcPr>
          <w:p>
            <w:r>
              <w:t>Month 1</w:t>
            </w:r>
          </w:p>
        </w:tc>
        <w:tc>
          <w:tcPr>
            <w:tcW w:type="dxa" w:w="2880"/>
          </w:tcPr>
          <w:p>
            <w:r>
              <w:t>Stage-3 data archive</w:t>
            </w:r>
          </w:p>
        </w:tc>
        <w:tc>
          <w:tcPr>
            <w:tcW w:type="dxa" w:w="2880"/>
          </w:tcPr>
          <w:p>
            <w:r>
              <w:t>Compile the participant-level Stage-3 logbook from distributor returns with transmittal evidence; reconcile against the published register; complete the fourth expert-consultation record (consent + summary).</w:t>
            </w:r>
          </w:p>
        </w:tc>
      </w:tr>
      <w:tr>
        <w:tc>
          <w:tcPr>
            <w:tcW w:type="dxa" w:w="2880"/>
          </w:tcPr>
          <w:p>
            <w:r>
              <w:t>Month 2</w:t>
            </w:r>
          </w:p>
        </w:tc>
        <w:tc>
          <w:tcPr>
            <w:tcW w:type="dxa" w:w="2880"/>
          </w:tcPr>
          <w:p>
            <w:r>
              <w:t>Appendices</w:t>
            </w:r>
          </w:p>
        </w:tc>
        <w:tc>
          <w:tcPr>
            <w:tcW w:type="dxa" w:w="2880"/>
          </w:tcPr>
          <w:p>
            <w:r>
              <w:t>Assemble Appendices A-D (verbatim instruments, coding records, reliability statistics) and Appendix G (data, consent and AI archive); apply queued wording corrections from the revision tracker.</w:t>
            </w:r>
          </w:p>
        </w:tc>
      </w:tr>
      <w:tr>
        <w:tc>
          <w:tcPr>
            <w:tcW w:type="dxa" w:w="2880"/>
          </w:tcPr>
          <w:p>
            <w:r>
              <w:t>Month 3</w:t>
            </w:r>
          </w:p>
        </w:tc>
        <w:tc>
          <w:tcPr>
            <w:tcW w:type="dxa" w:w="2880"/>
          </w:tcPr>
          <w:p>
            <w:r>
              <w:t>Verification and production</w:t>
            </w:r>
          </w:p>
        </w:tc>
        <w:tc>
          <w:tcPr>
            <w:tcW w:type="dxa" w:w="2880"/>
          </w:tcPr>
          <w:p>
            <w:r>
              <w:t>Full verification sweep (statistics against source data; citation-reference audit; internal consistency); regenerate tables of contents, lists of figures and tables; complete proofread.</w:t>
            </w:r>
          </w:p>
        </w:tc>
      </w:tr>
      <w:tr>
        <w:tc>
          <w:tcPr>
            <w:tcW w:type="dxa" w:w="2880"/>
          </w:tcPr>
          <w:p>
            <w:r>
              <w:t>Month 4</w:t>
            </w:r>
          </w:p>
        </w:tc>
        <w:tc>
          <w:tcPr>
            <w:tcW w:type="dxa" w:w="2880"/>
          </w:tcPr>
          <w:p>
            <w:r>
              <w:t>Supervisor review</w:t>
            </w:r>
          </w:p>
        </w:tc>
        <w:tc>
          <w:tcPr>
            <w:tcW w:type="dxa" w:w="2880"/>
          </w:tcPr>
          <w:p>
            <w:r>
              <w:t>Chief Supervisor's review of the complete thesis; incorporate revisions arising.</w:t>
            </w:r>
          </w:p>
        </w:tc>
      </w:tr>
      <w:tr>
        <w:tc>
          <w:tcPr>
            <w:tcW w:type="dxa" w:w="2880"/>
          </w:tcPr>
          <w:p>
            <w:r>
              <w:t>Month 5</w:t>
            </w:r>
          </w:p>
        </w:tc>
        <w:tc>
          <w:tcPr>
            <w:tcW w:type="dxa" w:w="2880"/>
          </w:tcPr>
          <w:p>
            <w:r>
              <w:t>Submission</w:t>
            </w:r>
          </w:p>
        </w:tc>
        <w:tc>
          <w:tcPr>
            <w:tcW w:type="dxa" w:w="2880"/>
          </w:tcPr>
          <w:p>
            <w:r>
              <w:t>Final production pass and submission for examination; margin retained for administrative processing.</w:t>
            </w:r>
          </w:p>
        </w:tc>
      </w:tr>
    </w:tbl>
    <w:p/>
    <w:p>
      <w:r>
        <w:t>Parallel activity throughout: submission of the Stage-2 paper to the Journal of Information &amp; Knowledge Management (ethics reference in hand) and correspondence arising.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