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Briefing Note — Ethics Characterisation for the EngD Programme</w:t>
      </w:r>
    </w:p>
    <w:p>
      <w:r>
        <w:rPr>
          <w:i/>
        </w:rPr>
        <w:t>For: Prof. Chi Fai (Benny) Cheung  ·  From: Sidney K. T. Tam  ·  August 2026  ·  Purpose: to agree the HSESC submission covering the programme's two consent arrangements, and to obtain the approval reference required by the thesis (§3.4) and both journal manuscripts.</w:t>
      </w:r>
    </w:p>
    <w:p>
      <w:pPr>
        <w:pStyle w:val="Heading2"/>
      </w:pPr>
      <w:r>
        <w:t>The programme in two lines</w:t>
      </w:r>
    </w:p>
    <w:p>
      <w:r>
        <w:t>Three-stage field programme on elderly abandonment of gamified Fall Risk Assessment: a 200-resident survey (Guangzhou, 2024); an eight-week gamified FRA deployment with 30 residents (Guangzhou); a 120-participant remote deployment of the decoupled HTML game (2026). Plus three expert consultations (2026) under signed consent. Thesis at V33; two papers submission-ready, held only on the ethics reference.</w:t>
      </w:r>
    </w:p>
    <w:p>
      <w:pPr>
        <w:pStyle w:val="Heading2"/>
      </w:pPr>
      <w:r>
        <w:t>Arrangement 1 — Stage 2 (residential facility, N = 30)</w:t>
      </w:r>
    </w:p>
    <w:p>
      <w:pPr>
        <w:pStyle w:val="ListBullet"/>
      </w:pPr>
      <w:r>
        <w:t>Residents were invited by the facility to try the gamified FRA as a facility activity. They were NOT told during the deployment that play formed part of a research project.</w:t>
      </w:r>
    </w:p>
    <w:p>
      <w:pPr>
        <w:pStyle w:val="ListBullet"/>
      </w:pPr>
      <w:r>
        <w:t>Rationale (methodological, not convenience): the study's subject is assessment fear; announcing a fall-risk study would have re-imposed the clinical frame whose behavioural effect was being measured. Incomplete disclosure was integral to the design.</w:t>
      </w:r>
    </w:p>
    <w:p>
      <w:pPr>
        <w:pStyle w:val="ListBullet"/>
      </w:pPr>
      <w:r>
        <w:t>Gatekeeper consent: the centre's general manager, operators and nursing team knew, approved and supported the deployment; the arrangement conversation was recorded at research start.</w:t>
      </w:r>
    </w:p>
    <w:p>
      <w:pPr>
        <w:pStyle w:val="ListBullet"/>
      </w:pPr>
      <w:r>
        <w:t>Written consent: obtained retrospectively from the nine sustained participants at the close of the eight-week cycle (rewards presentation). The 21 participants who dropped out did not sign; their negative reaction made a research approach inappropriate at the time.</w:t>
      </w:r>
    </w:p>
    <w:p>
      <w:pPr>
        <w:pStyle w:val="ListBullet"/>
      </w:pPr>
      <w:r>
        <w:t>Data: pseudonymised at collection; no identifiers to third-party services; behavioural and FRA-index records only; no adverse events.</w:t>
      </w:r>
    </w:p>
    <w:p>
      <w:pPr>
        <w:pStyle w:val="ListBullet"/>
      </w:pPr>
      <w:r>
        <w:t>Also in Stage 2: an after-game paper questionnaire (all 30); post-deployment interviews with the nine sustained participants and three centre managers (author's notes primary record).</w:t>
      </w:r>
    </w:p>
    <w:p>
      <w:pPr>
        <w:pStyle w:val="Heading2"/>
      </w:pPr>
      <w:r>
        <w:t>Arrangement 2 — Stage 3 (remote deployment, N = 120)</w:t>
      </w:r>
    </w:p>
    <w:p>
      <w:pPr>
        <w:pStyle w:val="ListBullet"/>
      </w:pPr>
      <w:r>
        <w:t>HTML build of the game distributed by e-mail through the author's networks (work contacts, charity community network, university support, medical-centre peers), played unsupervised on participants' own computers.</w:t>
      </w:r>
    </w:p>
    <w:p>
      <w:pPr>
        <w:pStyle w:val="ListBullet"/>
      </w:pPr>
      <w:r>
        <w:t>Informed, implied consent: distribution e-mails explained the purpose of the game and questionnaire and the use of replies; participation voluntary and unpaid; returning the game's results file and questionnaire responses constituted consent. No written instrument (acknowledged in the thesis as a limitation).</w:t>
      </w:r>
    </w:p>
    <w:p>
      <w:pPr>
        <w:pStyle w:val="ListBullet"/>
      </w:pPr>
      <w:r>
        <w:t>Data: age band, gender, education, game logs, two questionnaire items; identities separated from analysed records at compilation.</w:t>
      </w:r>
    </w:p>
    <w:p>
      <w:pPr>
        <w:pStyle w:val="Heading2"/>
      </w:pPr>
      <w:r>
        <w:t>Expert consultations (documented separately, low risk)</w:t>
      </w:r>
    </w:p>
    <w:p>
      <w:r>
        <w:t>Three consultations under a common semi-structured guide: Thomas Wong (physiotherapy; March 2026), Dr Gary Kui-Kai Lau (HKUMED, stroke neurology; June 2026), Dr Sarah C.W. Yuan (University of Hawai'i; 25 July 2026, signed consent 22 July 2026 incl. named attribution). Consent documentation for the first two being completed; standing consent statement and interview guidelines are on file.</w:t>
      </w:r>
    </w:p>
    <w:p>
      <w:pPr>
        <w:pStyle w:val="Heading2"/>
      </w:pPr>
      <w:r>
        <w:t>Risk profile</w:t>
      </w:r>
    </w:p>
    <w:p>
      <w:r>
        <w:t>Minimal risk throughout: voluntary game play on installed clinical equipment with staff present (Stage 2) or a browser game at home (Stage 3); no clinical intervention; no deception beyond non-disclosure of research purpose; vulnerable population involved only in the facility-sanctioned, staff-supervised stage; no adverse events in any stage; all analysed data de-identified.</w:t>
      </w:r>
    </w:p>
    <w:p>
      <w:pPr>
        <w:pStyle w:val="Heading2"/>
      </w:pPr>
      <w:r>
        <w:t>What is being asked of HSESC</w:t>
      </w:r>
    </w:p>
    <w:p>
      <w:pPr>
        <w:pStyle w:val="ListNumber"/>
      </w:pPr>
      <w:r>
        <w:t>Characterise the Stage-2 arrangement (incomplete disclosure + gatekeeper consent + retrospective written consent from sustained participants) — the standard mechanism appears to be a waiver/modification of consent for minimal-risk observational research where disclosure would invalidate the measurement.</w:t>
      </w:r>
    </w:p>
    <w:p>
      <w:pPr>
        <w:pStyle w:val="ListNumber"/>
      </w:pPr>
      <w:r>
        <w:t>Confirm coverage of the Stage-3 remote implied-consent procedure and the expert consultations.</w:t>
      </w:r>
    </w:p>
    <w:p>
      <w:pPr>
        <w:pStyle w:val="ListNumber"/>
      </w:pPr>
      <w:r>
        <w:t>Issue the approval reference number, date and coverage statement for thesis §3.4.</w:t>
      </w:r>
    </w:p>
    <w:p>
      <w:pPr>
        <w:pStyle w:val="ListNumber"/>
      </w:pPr>
      <w:r>
        <w:t>If available, expedited / minimal-risk track handling; an indicative timeline for planning the examination schedule.</w:t>
      </w:r>
    </w:p>
    <w:p>
      <w:pPr>
        <w:pStyle w:val="Heading2"/>
      </w:pPr>
      <w:r>
        <w:t>Artifacts available on request</w:t>
      </w:r>
    </w:p>
    <w:p>
      <w:r>
        <w:t>Recorded facility arrangement conversation; sustained participants' signed forms; the two Stage-2 paper instruments; Stage-3 distribution e-mail and returned materials; expert consent forms, interview guide, general consent statement and interview guidelines; full document audit trail (thesis versions V12-V33 with edit scripts).</w:t>
      </w:r>
    </w:p>
    <w:p>
      <w:pPr>
        <w:pStyle w:val="Heading2"/>
      </w:pPr>
      <w:r>
        <w:t>What is blocked pending the reference</w:t>
      </w:r>
    </w:p>
    <w:p>
      <w:r>
        <w:t>Thesis §3.4 final wording and examination scheduling; Paper 2 submission (JIKM per your recommendation — manuscript complete, ethics paragraph one sentence from final); Paper 3 submission. No document currently claims approval; all state the characterisation is being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HSESC Briefing Note for Prof. Cheung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