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B26DE" w14:textId="77777777" w:rsidR="0001661B" w:rsidRDefault="00000000">
      <w:pPr>
        <w:pStyle w:val="Title"/>
      </w:pPr>
      <w:r>
        <w:t>Updated examination report on the EngD thesis Version 40</w:t>
      </w:r>
    </w:p>
    <w:p w14:paraId="491EEEE3" w14:textId="77777777" w:rsidR="0001661B" w:rsidRDefault="00000000">
      <w:pPr>
        <w:spacing w:after="80"/>
      </w:pPr>
      <w:r>
        <w:t>Independent examiner style assessment against published HK PolyU expectations</w:t>
      </w:r>
    </w:p>
    <w:p w14:paraId="42BF44F2" w14:textId="77777777" w:rsidR="0001661B" w:rsidRDefault="00000000">
      <w:pPr>
        <w:spacing w:after="80"/>
      </w:pPr>
      <w:r>
        <w:rPr>
          <w:sz w:val="20"/>
        </w:rPr>
        <w:t>Candidate: Sidney K. T. Tam</w:t>
      </w:r>
    </w:p>
    <w:p w14:paraId="3EC4C085" w14:textId="77777777" w:rsidR="0001661B" w:rsidRDefault="00000000">
      <w:pPr>
        <w:spacing w:after="80"/>
      </w:pPr>
      <w:r>
        <w:rPr>
          <w:sz w:val="20"/>
        </w:rPr>
        <w:t>Thesis: Gamification as Proactive Approach for Continuous Improvement and Innovation Enhancement</w:t>
      </w:r>
    </w:p>
    <w:p w14:paraId="1D1A8888" w14:textId="77777777" w:rsidR="0001661B" w:rsidRDefault="00000000">
      <w:pPr>
        <w:spacing w:after="80"/>
      </w:pPr>
      <w:r>
        <w:rPr>
          <w:sz w:val="20"/>
        </w:rPr>
        <w:t>Version reviewed: Full_version_V40_EngD_Thesis_Submission_Draft_14092026 version.docx</w:t>
      </w:r>
    </w:p>
    <w:p w14:paraId="1DF4978F" w14:textId="77777777" w:rsidR="0001661B" w:rsidRDefault="00000000">
      <w:pPr>
        <w:spacing w:after="80"/>
      </w:pPr>
      <w:r>
        <w:rPr>
          <w:sz w:val="20"/>
        </w:rPr>
        <w:t>Review date: 14 September 2026</w:t>
      </w:r>
    </w:p>
    <w:p w14:paraId="4B670DBC" w14:textId="77777777" w:rsidR="0001661B" w:rsidRDefault="00000000">
      <w:pPr>
        <w:pStyle w:val="Heading1"/>
      </w:pPr>
      <w:r>
        <w:t>1 Overall recommendation</w:t>
      </w:r>
    </w:p>
    <w:p w14:paraId="4B86B565" w14:textId="77777777" w:rsidR="0001661B" w:rsidRDefault="00000000">
      <w:r>
        <w:rPr>
          <w:b/>
        </w:rPr>
        <w:t>Version 40 is substantially stronger in its intellectual framing, but I would still recommend substantial revision and documentary verification before acceptance. I would not currently recommend acceptance subject only to minor corrections.</w:t>
      </w:r>
      <w:r>
        <w:t xml:space="preserve"> The revised thesis has a credible applied doctoral direction: it investigates an unsuccessful deployment, characterises non-return, and translates those observations into a proposed engineering framework. The remaining difficulty is whether the empirical and implementation records support the account consistently enough for examination. Several acceptance-critical matters are explicitly unfinished in the supplied version. [1, §§3.4, 8.9, Appendices B, D and G]</w:t>
      </w:r>
    </w:p>
    <w:p w14:paraId="09E9C434" w14:textId="77777777" w:rsidR="0001661B" w:rsidRDefault="00000000">
      <w:r>
        <w:t>The most important improvement is the distinction between observed participation, a candidate psychological explanation, and a framework requiring prospective evaluation. The abstract, research questions, credible-progress specification and conclusion now make this distinction much more effectively than V38. These changes warrant a more favourable assessment of the argument, even though they do not yet justify a more favourable acceptance recommendation. [1, Abstract, §§1.11–1.13, 7.5.2, 9.12; 2; 3]</w:t>
      </w:r>
    </w:p>
    <w:p w14:paraId="6818B091" w14:textId="77777777" w:rsidR="0001661B" w:rsidRDefault="00000000">
      <w:r>
        <w:t>My principal reservations concern the documented scope of ethics authorisation and consent; contradictory accounts of Stage-2 response collection; incomplete coding, instrument and source records; and the relationship between the deployed software and the architecture described. These matters affect which observations can support the thesis, rather than merely how the thesis is expressed. There is also a smaller but consequential set of residual overclaims that conflicts with the revised central argument. [1, §§3.4, 5.3–5.6, 7.9, 8.9]</w:t>
      </w:r>
    </w:p>
    <w:p w14:paraId="163A94ED" w14:textId="77777777" w:rsidR="0001661B" w:rsidRDefault="00000000">
      <w:pPr>
        <w:pStyle w:val="Heading1"/>
      </w:pPr>
      <w:r>
        <w:t>2 Status and scope of this report</w:t>
      </w:r>
    </w:p>
    <w:p w14:paraId="6070114D" w14:textId="77777777" w:rsidR="0001661B" w:rsidRDefault="00000000">
      <w:r>
        <w:t>This is an independent academic assessment written in the style of an examiner, not an official report issued by The Hong Kong Polytechnic University. It assesses the thesis component; it does not assess coursework, an oral defence, or institutional decisions on data use. The recommendation uses descriptive language because the candidate-specific EngD examination form and regulations were not available for verification. MPhil/PhD outcome categories are not assumed to apply unchanged to this EngD.</w:t>
      </w:r>
    </w:p>
    <w:p w14:paraId="4654A292" w14:textId="77777777" w:rsidR="0001661B" w:rsidRDefault="00000000">
      <w:r>
        <w:t>The review covered the extracted text and tables of all nine chapters and appendices, comparison with V38 and the earlier reassessment, targeted checks against primary sources, numerical checks of reported aggregate results, and selected visual inspection of a 198-page review render. Section and table references are the primary locators because Word pagination may differ. Raw workbooks, software, approval memoranda and consent records named in Appendix G were not independently supplied or verified. Their absence from this review does not establish that they do not exist. Embedded comments and the author completion checklist were treated as material to assess, not instructions governing the judgement. [1–3]</w:t>
      </w:r>
    </w:p>
    <w:p w14:paraId="37ED8E96" w14:textId="77777777" w:rsidR="0001661B" w:rsidRDefault="00000000">
      <w:pPr>
        <w:pStyle w:val="Heading1"/>
        <w:pageBreakBefore/>
      </w:pPr>
      <w:r>
        <w:lastRenderedPageBreak/>
        <w:t>3 Doctoral standard and intellectual contribution</w:t>
      </w:r>
    </w:p>
    <w:p w14:paraId="2F83D846" w14:textId="77777777" w:rsidR="0001661B" w:rsidRDefault="00000000">
      <w:r>
        <w:t>PolyU describes its EngD thesis as company or organisation related, making a significant contribution or providing innovative insights into professional engineering practice. Its published programme information also requires an innovative, professionally applicable thesis with results worthy of publication in a peer-reviewed archival journal. These expectations support assessment of a rigorous applied investigation, including knowledge generated by an unsuccessful intervention. They do not require this thesis to establish a universal psychological theory or to claim that a prototype has already delivered clinical benefit. [4]</w:t>
      </w:r>
    </w:p>
    <w:p w14:paraId="700CCFB7" w14:textId="77777777" w:rsidR="0001661B" w:rsidRDefault="00000000">
      <w:pPr>
        <w:pStyle w:val="Heading2"/>
      </w:pPr>
      <w:r>
        <w:t>What I would recognise as the contribution</w:t>
      </w:r>
    </w:p>
    <w:p w14:paraId="36899AF7" w14:textId="77777777" w:rsidR="0001661B" w:rsidRDefault="00000000">
      <w:r>
        <w:t>The investigation begins with a meaningful service problem: an available assessment platform did not secure repeated voluntary use despite equipment access and local support. The three stages develop that problem from retrospective accounts, through an observed deployment, to a redesigned package in another setting. This is a plausible action-research progression. Its doctoral value depends on an inspectable relationship between what happened, what the researcher learned and what changed in the engineering specification. [1, Chapters 1, 3–6]</w:t>
      </w:r>
    </w:p>
    <w:p w14:paraId="580AB664" w14:textId="77777777" w:rsidR="0001661B" w:rsidRDefault="00000000">
      <w:r>
        <w:t>The clearest contribution is the contextual integration of participant-support and system-improvement cycles with credible-progress rules. A participant may receive support during an encounter, while the engineering team separately evaluates whether a revised interface, controller or service arrangement improves subsequent encounters. Section 7.5.2 adds a particularly useful requirement: an adaptive system must identify changing task conditions, assistance and software versions so that a rising score is not mistaken for increased capability. The separation of participation, performance, learning and clinical outcomes is both academically sound and practically valuable. [1, §§7.5.2, 7.9; 8]</w:t>
      </w:r>
    </w:p>
    <w:p w14:paraId="2E04112A" w14:textId="77777777" w:rsidR="0001661B" w:rsidRDefault="00000000">
      <w:r>
        <w:t>The dual-purpose balance-game mechanic is also a legitimate engineering artefact, provided the thesis specifies and verifies the implementation actually used. Integrating sensing, gameplay and a separate clinical pathway is a contextual contribution. Its significance should be demonstrated through traceable design requirements, implementation records and appropriate functional evidence. A description of a plausible architecture alone cannot establish its successful deployment or clinical equivalence. [1, §§5.2A–5.3, 7.5; 7]</w:t>
      </w:r>
    </w:p>
    <w:p w14:paraId="6D13553E" w14:textId="77777777" w:rsidR="0001661B" w:rsidRDefault="00000000">
      <w:pPr>
        <w:pStyle w:val="Heading2"/>
      </w:pPr>
      <w:r>
        <w:t>Boundaries of originality</w:t>
      </w:r>
    </w:p>
    <w:p w14:paraId="19BA1553" w14:textId="77777777" w:rsidR="0001661B" w:rsidRDefault="00000000">
      <w:r>
        <w:t>FIAS is most defensible as a provisional descriptive construct for failure-associated non-return. Its name does not establish discriminant validity, diagnostic status or incremental explanatory power. The thesis now acknowledges that identity protection, information avoidance, continuance beliefs, practical burdens and rational avoidance of consequences remain competing explanations. Those concessions strengthen the work. The proposed model-comparison programme may eventually test incremental value; it has not done so in the completed studies. [1, §§2.5, 6.10, 8.5; 12, 13]</w:t>
      </w:r>
    </w:p>
    <w:p w14:paraId="12D0D6EA" w14:textId="77777777" w:rsidR="0001661B" w:rsidRDefault="00000000">
      <w:r>
        <w:t xml:space="preserve">I would therefore recognise </w:t>
      </w:r>
      <w:r>
        <w:rPr>
          <w:b/>
        </w:rPr>
        <w:t>a potentially original integration of field-based problem clarification, interaction design and credible progress representation</w:t>
      </w:r>
      <w:r>
        <w:t>. The thesis does not yet establish the effectiveness of the complete adaptive-learning framework, a unique causal mechanism for abandonment, or safe clinical reattachment. Those are prospective claims. The manuscript should maintain this boundary consistently in prose, tables and diagrams. [1, §§1.12, 7.4–7.9, 9.7–9.12]</w:t>
      </w:r>
    </w:p>
    <w:p w14:paraId="70D1869A" w14:textId="77777777" w:rsidR="0001661B" w:rsidRDefault="00000000">
      <w:pPr>
        <w:pStyle w:val="Heading1"/>
        <w:pageBreakBefore/>
      </w:pPr>
      <w:r>
        <w:lastRenderedPageBreak/>
        <w:t>4 Updated assessment relative to V38</w:t>
      </w:r>
    </w:p>
    <w:p w14:paraId="3125B99B" w14:textId="77777777" w:rsidR="0001661B" w:rsidRDefault="00000000">
      <w:r>
        <w:t>The earlier reassessment judged V38 improved but still in need of major revision. V40 makes more substantial changes to the argument than that assessment credited to V38. The following comparison records visible closure of particular writing problems while keeping documentary requirements separate. A concern is not closed simply because the thesis now describes the record it intends to provide. [1–3]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58"/>
        <w:gridCol w:w="4522"/>
        <w:gridCol w:w="3067"/>
      </w:tblGrid>
      <w:tr w:rsidR="0001661B" w14:paraId="68B181DB" w14:textId="77777777">
        <w:trPr>
          <w:cantSplit/>
          <w:tblHeader/>
          <w:jc w:val="center"/>
        </w:trPr>
        <w:tc>
          <w:tcPr>
            <w:tcW w:w="1958" w:type="dxa"/>
            <w:shd w:val="clear" w:color="auto" w:fill="E5E8EB"/>
            <w:tcMar>
              <w:top w:w="75" w:type="dxa"/>
              <w:left w:w="90" w:type="dxa"/>
              <w:bottom w:w="75" w:type="dxa"/>
              <w:right w:w="90" w:type="dxa"/>
            </w:tcMar>
            <w:vAlign w:val="center"/>
          </w:tcPr>
          <w:p w14:paraId="0F4E4C4C" w14:textId="77777777" w:rsidR="0001661B" w:rsidRDefault="00000000">
            <w:pPr>
              <w:spacing w:after="0" w:line="240" w:lineRule="auto"/>
            </w:pPr>
            <w:r>
              <w:rPr>
                <w:b/>
                <w:sz w:val="20"/>
              </w:rPr>
              <w:t>Area</w:t>
            </w:r>
          </w:p>
        </w:tc>
        <w:tc>
          <w:tcPr>
            <w:tcW w:w="4522" w:type="dxa"/>
            <w:shd w:val="clear" w:color="auto" w:fill="E5E8EB"/>
            <w:tcMar>
              <w:top w:w="75" w:type="dxa"/>
              <w:left w:w="90" w:type="dxa"/>
              <w:bottom w:w="75" w:type="dxa"/>
              <w:right w:w="90" w:type="dxa"/>
            </w:tcMar>
            <w:vAlign w:val="center"/>
          </w:tcPr>
          <w:p w14:paraId="49D1C30B" w14:textId="77777777" w:rsidR="0001661B" w:rsidRDefault="00000000">
            <w:pPr>
              <w:spacing w:after="0" w:line="240" w:lineRule="auto"/>
            </w:pPr>
            <w:r>
              <w:rPr>
                <w:b/>
                <w:sz w:val="20"/>
              </w:rPr>
              <w:t>Change visible in V40</w:t>
            </w:r>
          </w:p>
        </w:tc>
        <w:tc>
          <w:tcPr>
            <w:tcW w:w="3067" w:type="dxa"/>
            <w:shd w:val="clear" w:color="auto" w:fill="E5E8EB"/>
            <w:tcMar>
              <w:top w:w="75" w:type="dxa"/>
              <w:left w:w="90" w:type="dxa"/>
              <w:bottom w:w="75" w:type="dxa"/>
              <w:right w:w="90" w:type="dxa"/>
            </w:tcMar>
            <w:vAlign w:val="center"/>
          </w:tcPr>
          <w:p w14:paraId="0F34691F" w14:textId="77777777" w:rsidR="0001661B" w:rsidRDefault="00000000">
            <w:pPr>
              <w:spacing w:after="0" w:line="240" w:lineRule="auto"/>
            </w:pPr>
            <w:r>
              <w:rPr>
                <w:b/>
                <w:sz w:val="20"/>
              </w:rPr>
              <w:t>Updated judgement</w:t>
            </w:r>
          </w:p>
        </w:tc>
      </w:tr>
      <w:tr w:rsidR="0001661B" w14:paraId="3D81464B" w14:textId="77777777">
        <w:trPr>
          <w:cantSplit/>
          <w:jc w:val="center"/>
        </w:trPr>
        <w:tc>
          <w:tcPr>
            <w:tcW w:w="1958" w:type="dxa"/>
            <w:tcMar>
              <w:top w:w="75" w:type="dxa"/>
              <w:left w:w="90" w:type="dxa"/>
              <w:bottom w:w="75" w:type="dxa"/>
              <w:right w:w="90" w:type="dxa"/>
            </w:tcMar>
            <w:vAlign w:val="center"/>
          </w:tcPr>
          <w:p w14:paraId="7CCFA637" w14:textId="77777777" w:rsidR="0001661B" w:rsidRDefault="00000000">
            <w:pPr>
              <w:spacing w:after="0" w:line="240" w:lineRule="auto"/>
            </w:pPr>
            <w:r>
              <w:rPr>
                <w:sz w:val="20"/>
              </w:rPr>
              <w:t>Abstract and research questions</w:t>
            </w:r>
          </w:p>
        </w:tc>
        <w:tc>
          <w:tcPr>
            <w:tcW w:w="4522" w:type="dxa"/>
            <w:tcMar>
              <w:top w:w="75" w:type="dxa"/>
              <w:left w:w="90" w:type="dxa"/>
              <w:bottom w:w="75" w:type="dxa"/>
              <w:right w:w="90" w:type="dxa"/>
            </w:tcMar>
            <w:vAlign w:val="center"/>
          </w:tcPr>
          <w:p w14:paraId="45288F41" w14:textId="77777777" w:rsidR="0001661B" w:rsidRDefault="00000000">
            <w:pPr>
              <w:spacing w:after="0" w:line="240" w:lineRule="auto"/>
            </w:pPr>
            <w:r>
              <w:rPr>
                <w:sz w:val="20"/>
              </w:rPr>
              <w:t>Observations, candidate mechanisms and proposed framework are explicitly separated.</w:t>
            </w:r>
          </w:p>
        </w:tc>
        <w:tc>
          <w:tcPr>
            <w:tcW w:w="3067" w:type="dxa"/>
            <w:tcMar>
              <w:top w:w="75" w:type="dxa"/>
              <w:left w:w="90" w:type="dxa"/>
              <w:bottom w:w="75" w:type="dxa"/>
              <w:right w:w="90" w:type="dxa"/>
            </w:tcMar>
            <w:vAlign w:val="center"/>
          </w:tcPr>
          <w:p w14:paraId="400C9372" w14:textId="77777777" w:rsidR="0001661B" w:rsidRDefault="00000000">
            <w:pPr>
              <w:spacing w:after="0" w:line="240" w:lineRule="auto"/>
            </w:pPr>
            <w:r>
              <w:rPr>
                <w:sz w:val="20"/>
              </w:rPr>
              <w:t>Substantially improved.</w:t>
            </w:r>
          </w:p>
        </w:tc>
      </w:tr>
      <w:tr w:rsidR="0001661B" w14:paraId="5D6CAF3E" w14:textId="77777777">
        <w:trPr>
          <w:cantSplit/>
          <w:jc w:val="center"/>
        </w:trPr>
        <w:tc>
          <w:tcPr>
            <w:tcW w:w="1958" w:type="dxa"/>
            <w:tcMar>
              <w:top w:w="75" w:type="dxa"/>
              <w:left w:w="90" w:type="dxa"/>
              <w:bottom w:w="75" w:type="dxa"/>
              <w:right w:w="90" w:type="dxa"/>
            </w:tcMar>
            <w:vAlign w:val="center"/>
          </w:tcPr>
          <w:p w14:paraId="237288D5" w14:textId="77777777" w:rsidR="0001661B" w:rsidRDefault="00000000">
            <w:pPr>
              <w:spacing w:after="0" w:line="240" w:lineRule="auto"/>
            </w:pPr>
            <w:r>
              <w:rPr>
                <w:sz w:val="20"/>
              </w:rPr>
              <w:t>Initial design expectation H0</w:t>
            </w:r>
          </w:p>
        </w:tc>
        <w:tc>
          <w:tcPr>
            <w:tcW w:w="4522" w:type="dxa"/>
            <w:tcMar>
              <w:top w:w="75" w:type="dxa"/>
              <w:left w:w="90" w:type="dxa"/>
              <w:bottom w:w="75" w:type="dxa"/>
              <w:right w:w="90" w:type="dxa"/>
            </w:tcMar>
            <w:vAlign w:val="center"/>
          </w:tcPr>
          <w:p w14:paraId="7BF82832" w14:textId="77777777" w:rsidR="0001661B" w:rsidRDefault="00000000">
            <w:pPr>
              <w:spacing w:after="0" w:line="240" w:lineRule="auto"/>
            </w:pPr>
            <w:r>
              <w:rPr>
                <w:sz w:val="20"/>
              </w:rPr>
              <w:t>Retrospective formalisation and absence of a conventional statistical test are acknowledged.</w:t>
            </w:r>
          </w:p>
        </w:tc>
        <w:tc>
          <w:tcPr>
            <w:tcW w:w="3067" w:type="dxa"/>
            <w:tcMar>
              <w:top w:w="75" w:type="dxa"/>
              <w:left w:w="90" w:type="dxa"/>
              <w:bottom w:w="75" w:type="dxa"/>
              <w:right w:w="90" w:type="dxa"/>
            </w:tcMar>
            <w:vAlign w:val="center"/>
          </w:tcPr>
          <w:p w14:paraId="7A2AF7AD" w14:textId="77777777" w:rsidR="0001661B" w:rsidRDefault="00000000">
            <w:pPr>
              <w:spacing w:after="0" w:line="240" w:lineRule="auto"/>
            </w:pPr>
            <w:r>
              <w:rPr>
                <w:sz w:val="20"/>
              </w:rPr>
              <w:t>Central correction largely achieved.</w:t>
            </w:r>
          </w:p>
        </w:tc>
      </w:tr>
      <w:tr w:rsidR="0001661B" w14:paraId="5D63CFF0" w14:textId="77777777">
        <w:trPr>
          <w:cantSplit/>
          <w:jc w:val="center"/>
        </w:trPr>
        <w:tc>
          <w:tcPr>
            <w:tcW w:w="1958" w:type="dxa"/>
            <w:tcMar>
              <w:top w:w="75" w:type="dxa"/>
              <w:left w:w="90" w:type="dxa"/>
              <w:bottom w:w="75" w:type="dxa"/>
              <w:right w:w="90" w:type="dxa"/>
            </w:tcMar>
            <w:vAlign w:val="center"/>
          </w:tcPr>
          <w:p w14:paraId="2D8BC00E" w14:textId="77777777" w:rsidR="0001661B" w:rsidRDefault="00000000">
            <w:pPr>
              <w:spacing w:after="0" w:line="240" w:lineRule="auto"/>
            </w:pPr>
            <w:r>
              <w:rPr>
                <w:sz w:val="20"/>
              </w:rPr>
              <w:t>Stage-3 interpretation</w:t>
            </w:r>
          </w:p>
        </w:tc>
        <w:tc>
          <w:tcPr>
            <w:tcW w:w="4522" w:type="dxa"/>
            <w:tcMar>
              <w:top w:w="75" w:type="dxa"/>
              <w:left w:w="90" w:type="dxa"/>
              <w:bottom w:w="75" w:type="dxa"/>
              <w:right w:w="90" w:type="dxa"/>
            </w:tcMar>
            <w:vAlign w:val="center"/>
          </w:tcPr>
          <w:p w14:paraId="6553AD74" w14:textId="77777777" w:rsidR="0001661B" w:rsidRDefault="00000000">
            <w:pPr>
              <w:spacing w:after="0" w:line="240" w:lineRule="auto"/>
            </w:pPr>
            <w:r>
              <w:rPr>
                <w:sz w:val="20"/>
              </w:rPr>
              <w:t>Cohort, input, setting and delivery differences are explicit.</w:t>
            </w:r>
          </w:p>
        </w:tc>
        <w:tc>
          <w:tcPr>
            <w:tcW w:w="3067" w:type="dxa"/>
            <w:tcMar>
              <w:top w:w="75" w:type="dxa"/>
              <w:left w:w="90" w:type="dxa"/>
              <w:bottom w:w="75" w:type="dxa"/>
              <w:right w:w="90" w:type="dxa"/>
            </w:tcMar>
            <w:vAlign w:val="center"/>
          </w:tcPr>
          <w:p w14:paraId="56322936" w14:textId="77777777" w:rsidR="0001661B" w:rsidRDefault="00000000">
            <w:pPr>
              <w:spacing w:after="0" w:line="240" w:lineRule="auto"/>
            </w:pPr>
            <w:r>
              <w:rPr>
                <w:sz w:val="20"/>
              </w:rPr>
              <w:t>Improved; outcome comparability still needs records.</w:t>
            </w:r>
          </w:p>
        </w:tc>
      </w:tr>
      <w:tr w:rsidR="0001661B" w14:paraId="4A96461D" w14:textId="77777777">
        <w:trPr>
          <w:cantSplit/>
          <w:jc w:val="center"/>
        </w:trPr>
        <w:tc>
          <w:tcPr>
            <w:tcW w:w="1958" w:type="dxa"/>
            <w:tcMar>
              <w:top w:w="75" w:type="dxa"/>
              <w:left w:w="90" w:type="dxa"/>
              <w:bottom w:w="75" w:type="dxa"/>
              <w:right w:w="90" w:type="dxa"/>
            </w:tcMar>
            <w:vAlign w:val="center"/>
          </w:tcPr>
          <w:p w14:paraId="592D036D" w14:textId="77777777" w:rsidR="0001661B" w:rsidRDefault="00000000">
            <w:pPr>
              <w:spacing w:after="0" w:line="240" w:lineRule="auto"/>
            </w:pPr>
            <w:r>
              <w:rPr>
                <w:sz w:val="20"/>
              </w:rPr>
              <w:t>Adaptive learning and the title</w:t>
            </w:r>
          </w:p>
        </w:tc>
        <w:tc>
          <w:tcPr>
            <w:tcW w:w="4522" w:type="dxa"/>
            <w:tcMar>
              <w:top w:w="75" w:type="dxa"/>
              <w:left w:w="90" w:type="dxa"/>
              <w:bottom w:w="75" w:type="dxa"/>
              <w:right w:w="90" w:type="dxa"/>
            </w:tcMar>
            <w:vAlign w:val="center"/>
          </w:tcPr>
          <w:p w14:paraId="2EE95340" w14:textId="77777777" w:rsidR="0001661B" w:rsidRDefault="00000000">
            <w:pPr>
              <w:spacing w:after="0" w:line="240" w:lineRule="auto"/>
            </w:pPr>
            <w:r>
              <w:rPr>
                <w:sz w:val="20"/>
              </w:rPr>
              <w:t>Two improvement cycles and condition-specific progress are specified.</w:t>
            </w:r>
          </w:p>
        </w:tc>
        <w:tc>
          <w:tcPr>
            <w:tcW w:w="3067" w:type="dxa"/>
            <w:tcMar>
              <w:top w:w="75" w:type="dxa"/>
              <w:left w:w="90" w:type="dxa"/>
              <w:bottom w:w="75" w:type="dxa"/>
              <w:right w:w="90" w:type="dxa"/>
            </w:tcMar>
            <w:vAlign w:val="center"/>
          </w:tcPr>
          <w:p w14:paraId="482B923F" w14:textId="77777777" w:rsidR="0001661B" w:rsidRDefault="00000000">
            <w:pPr>
              <w:spacing w:after="0" w:line="240" w:lineRule="auto"/>
            </w:pPr>
            <w:r>
              <w:rPr>
                <w:sz w:val="20"/>
              </w:rPr>
              <w:t>Stronger engineering argument.</w:t>
            </w:r>
          </w:p>
        </w:tc>
      </w:tr>
      <w:tr w:rsidR="0001661B" w14:paraId="58E25A99" w14:textId="77777777">
        <w:trPr>
          <w:cantSplit/>
          <w:jc w:val="center"/>
        </w:trPr>
        <w:tc>
          <w:tcPr>
            <w:tcW w:w="1958" w:type="dxa"/>
            <w:tcMar>
              <w:top w:w="75" w:type="dxa"/>
              <w:left w:w="90" w:type="dxa"/>
              <w:bottom w:w="75" w:type="dxa"/>
              <w:right w:w="90" w:type="dxa"/>
            </w:tcMar>
            <w:vAlign w:val="center"/>
          </w:tcPr>
          <w:p w14:paraId="020CAE77" w14:textId="77777777" w:rsidR="0001661B" w:rsidRDefault="00000000">
            <w:pPr>
              <w:spacing w:after="0" w:line="240" w:lineRule="auto"/>
            </w:pPr>
            <w:r>
              <w:rPr>
                <w:sz w:val="20"/>
              </w:rPr>
              <w:t>Alternative explanations</w:t>
            </w:r>
          </w:p>
        </w:tc>
        <w:tc>
          <w:tcPr>
            <w:tcW w:w="4522" w:type="dxa"/>
            <w:tcMar>
              <w:top w:w="75" w:type="dxa"/>
              <w:left w:w="90" w:type="dxa"/>
              <w:bottom w:w="75" w:type="dxa"/>
              <w:right w:w="90" w:type="dxa"/>
            </w:tcMar>
            <w:vAlign w:val="center"/>
          </w:tcPr>
          <w:p w14:paraId="3B8DBC3C" w14:textId="77777777" w:rsidR="0001661B" w:rsidRDefault="00000000">
            <w:pPr>
              <w:spacing w:after="0" w:line="240" w:lineRule="auto"/>
            </w:pPr>
            <w:r>
              <w:rPr>
                <w:sz w:val="20"/>
              </w:rPr>
              <w:t>Continuance, ordinary attrition and consequence-avoidance are considered.</w:t>
            </w:r>
          </w:p>
        </w:tc>
        <w:tc>
          <w:tcPr>
            <w:tcW w:w="3067" w:type="dxa"/>
            <w:tcMar>
              <w:top w:w="75" w:type="dxa"/>
              <w:left w:w="90" w:type="dxa"/>
              <w:bottom w:w="75" w:type="dxa"/>
              <w:right w:w="90" w:type="dxa"/>
            </w:tcMar>
            <w:vAlign w:val="center"/>
          </w:tcPr>
          <w:p w14:paraId="477B1BB2" w14:textId="77777777" w:rsidR="0001661B" w:rsidRDefault="00000000">
            <w:pPr>
              <w:spacing w:after="0" w:line="240" w:lineRule="auto"/>
            </w:pPr>
            <w:r>
              <w:rPr>
                <w:sz w:val="20"/>
              </w:rPr>
              <w:t>Improved; residual exclusions survive.</w:t>
            </w:r>
          </w:p>
        </w:tc>
      </w:tr>
      <w:tr w:rsidR="0001661B" w14:paraId="0CDF18FB" w14:textId="77777777">
        <w:trPr>
          <w:cantSplit/>
          <w:jc w:val="center"/>
        </w:trPr>
        <w:tc>
          <w:tcPr>
            <w:tcW w:w="1958" w:type="dxa"/>
            <w:tcMar>
              <w:top w:w="75" w:type="dxa"/>
              <w:left w:w="90" w:type="dxa"/>
              <w:bottom w:w="75" w:type="dxa"/>
              <w:right w:w="90" w:type="dxa"/>
            </w:tcMar>
            <w:vAlign w:val="center"/>
          </w:tcPr>
          <w:p w14:paraId="7EBA7EBD" w14:textId="77777777" w:rsidR="0001661B" w:rsidRDefault="00000000">
            <w:pPr>
              <w:spacing w:after="0" w:line="240" w:lineRule="auto"/>
            </w:pPr>
            <w:r>
              <w:rPr>
                <w:sz w:val="20"/>
              </w:rPr>
              <w:t>Statistical reporting</w:t>
            </w:r>
          </w:p>
        </w:tc>
        <w:tc>
          <w:tcPr>
            <w:tcW w:w="4522" w:type="dxa"/>
            <w:tcMar>
              <w:top w:w="75" w:type="dxa"/>
              <w:left w:w="90" w:type="dxa"/>
              <w:bottom w:w="75" w:type="dxa"/>
              <w:right w:w="90" w:type="dxa"/>
            </w:tcMar>
            <w:vAlign w:val="center"/>
          </w:tcPr>
          <w:p w14:paraId="539D0CB9" w14:textId="77777777" w:rsidR="0001661B" w:rsidRDefault="00000000">
            <w:pPr>
              <w:spacing w:after="0" w:line="240" w:lineRule="auto"/>
            </w:pPr>
            <w:r>
              <w:rPr>
                <w:sz w:val="20"/>
              </w:rPr>
              <w:t>Counts, intervals and withdrawn unsupported analyses are identified.</w:t>
            </w:r>
          </w:p>
        </w:tc>
        <w:tc>
          <w:tcPr>
            <w:tcW w:w="3067" w:type="dxa"/>
            <w:tcMar>
              <w:top w:w="75" w:type="dxa"/>
              <w:left w:w="90" w:type="dxa"/>
              <w:bottom w:w="75" w:type="dxa"/>
              <w:right w:w="90" w:type="dxa"/>
            </w:tcMar>
            <w:vAlign w:val="center"/>
          </w:tcPr>
          <w:p w14:paraId="4AFDFCFB" w14:textId="77777777" w:rsidR="0001661B" w:rsidRDefault="00000000">
            <w:pPr>
              <w:spacing w:after="0" w:line="240" w:lineRule="auto"/>
            </w:pPr>
            <w:r>
              <w:rPr>
                <w:sz w:val="20"/>
              </w:rPr>
              <w:t>More transparent; source replication pending.</w:t>
            </w:r>
          </w:p>
        </w:tc>
      </w:tr>
      <w:tr w:rsidR="0001661B" w14:paraId="6673AFB6" w14:textId="77777777">
        <w:trPr>
          <w:cantSplit/>
          <w:jc w:val="center"/>
        </w:trPr>
        <w:tc>
          <w:tcPr>
            <w:tcW w:w="1958" w:type="dxa"/>
            <w:tcMar>
              <w:top w:w="75" w:type="dxa"/>
              <w:left w:w="90" w:type="dxa"/>
              <w:bottom w:w="75" w:type="dxa"/>
              <w:right w:w="90" w:type="dxa"/>
            </w:tcMar>
            <w:vAlign w:val="center"/>
          </w:tcPr>
          <w:p w14:paraId="65CE08F5" w14:textId="77777777" w:rsidR="0001661B" w:rsidRDefault="00000000">
            <w:pPr>
              <w:spacing w:after="0" w:line="240" w:lineRule="auto"/>
            </w:pPr>
            <w:r>
              <w:rPr>
                <w:sz w:val="20"/>
              </w:rPr>
              <w:t>Ethics and consent</w:t>
            </w:r>
          </w:p>
        </w:tc>
        <w:tc>
          <w:tcPr>
            <w:tcW w:w="4522" w:type="dxa"/>
            <w:tcMar>
              <w:top w:w="75" w:type="dxa"/>
              <w:left w:w="90" w:type="dxa"/>
              <w:bottom w:w="75" w:type="dxa"/>
              <w:right w:w="90" w:type="dxa"/>
            </w:tcMar>
            <w:vAlign w:val="center"/>
          </w:tcPr>
          <w:p w14:paraId="2C3A8C8D" w14:textId="77777777" w:rsidR="0001661B" w:rsidRDefault="00000000">
            <w:pPr>
              <w:spacing w:after="0" w:line="240" w:lineRule="auto"/>
            </w:pPr>
            <w:r>
              <w:rPr>
                <w:sz w:val="20"/>
              </w:rPr>
              <w:t>The retrospective chronology and non-signing dropouts are disclosed explicitly.</w:t>
            </w:r>
          </w:p>
        </w:tc>
        <w:tc>
          <w:tcPr>
            <w:tcW w:w="3067" w:type="dxa"/>
            <w:tcMar>
              <w:top w:w="75" w:type="dxa"/>
              <w:left w:w="90" w:type="dxa"/>
              <w:bottom w:w="75" w:type="dxa"/>
              <w:right w:w="90" w:type="dxa"/>
            </w:tcMar>
            <w:vAlign w:val="center"/>
          </w:tcPr>
          <w:p w14:paraId="5D2EC620" w14:textId="77777777" w:rsidR="0001661B" w:rsidRDefault="00000000">
            <w:pPr>
              <w:spacing w:after="0" w:line="240" w:lineRule="auto"/>
            </w:pPr>
            <w:r>
              <w:rPr>
                <w:sz w:val="20"/>
              </w:rPr>
              <w:t>Clearer disclosure; institutional scope still unverified.</w:t>
            </w:r>
          </w:p>
        </w:tc>
      </w:tr>
      <w:tr w:rsidR="0001661B" w14:paraId="5A41BDF6" w14:textId="77777777">
        <w:trPr>
          <w:cantSplit/>
          <w:jc w:val="center"/>
        </w:trPr>
        <w:tc>
          <w:tcPr>
            <w:tcW w:w="1958" w:type="dxa"/>
            <w:tcMar>
              <w:top w:w="75" w:type="dxa"/>
              <w:left w:w="90" w:type="dxa"/>
              <w:bottom w:w="75" w:type="dxa"/>
              <w:right w:w="90" w:type="dxa"/>
            </w:tcMar>
            <w:vAlign w:val="center"/>
          </w:tcPr>
          <w:p w14:paraId="7F28BD25" w14:textId="77777777" w:rsidR="0001661B" w:rsidRDefault="00000000">
            <w:pPr>
              <w:spacing w:after="0" w:line="240" w:lineRule="auto"/>
            </w:pPr>
            <w:r>
              <w:rPr>
                <w:sz w:val="20"/>
              </w:rPr>
              <w:t>Participant responses</w:t>
            </w:r>
          </w:p>
        </w:tc>
        <w:tc>
          <w:tcPr>
            <w:tcW w:w="4522" w:type="dxa"/>
            <w:tcMar>
              <w:top w:w="75" w:type="dxa"/>
              <w:left w:w="90" w:type="dxa"/>
              <w:bottom w:w="75" w:type="dxa"/>
              <w:right w:w="90" w:type="dxa"/>
            </w:tcMar>
            <w:vAlign w:val="center"/>
          </w:tcPr>
          <w:p w14:paraId="58ED2116" w14:textId="77777777" w:rsidR="0001661B" w:rsidRDefault="00000000">
            <w:pPr>
              <w:spacing w:after="0" w:line="240" w:lineRule="auto"/>
            </w:pPr>
            <w:r>
              <w:rPr>
                <w:sz w:val="20"/>
              </w:rPr>
              <w:t>Therapist-mediated field-note compilation is now explained.</w:t>
            </w:r>
          </w:p>
        </w:tc>
        <w:tc>
          <w:tcPr>
            <w:tcW w:w="3067" w:type="dxa"/>
            <w:tcMar>
              <w:top w:w="75" w:type="dxa"/>
              <w:left w:w="90" w:type="dxa"/>
              <w:bottom w:w="75" w:type="dxa"/>
              <w:right w:w="90" w:type="dxa"/>
            </w:tcMar>
            <w:vAlign w:val="center"/>
          </w:tcPr>
          <w:p w14:paraId="1C1B315F" w14:textId="77777777" w:rsidR="0001661B" w:rsidRDefault="00000000">
            <w:pPr>
              <w:spacing w:after="0" w:line="240" w:lineRule="auto"/>
            </w:pPr>
            <w:r>
              <w:rPr>
                <w:sz w:val="20"/>
              </w:rPr>
              <w:t>Important clarification conflicts with questionnaire passages.</w:t>
            </w:r>
          </w:p>
        </w:tc>
      </w:tr>
      <w:tr w:rsidR="0001661B" w14:paraId="6F54540B" w14:textId="77777777">
        <w:trPr>
          <w:cantSplit/>
          <w:jc w:val="center"/>
        </w:trPr>
        <w:tc>
          <w:tcPr>
            <w:tcW w:w="1958" w:type="dxa"/>
            <w:tcMar>
              <w:top w:w="75" w:type="dxa"/>
              <w:left w:w="90" w:type="dxa"/>
              <w:bottom w:w="75" w:type="dxa"/>
              <w:right w:w="90" w:type="dxa"/>
            </w:tcMar>
            <w:vAlign w:val="center"/>
          </w:tcPr>
          <w:p w14:paraId="272165E7" w14:textId="77777777" w:rsidR="0001661B" w:rsidRDefault="00000000">
            <w:pPr>
              <w:spacing w:after="0" w:line="240" w:lineRule="auto"/>
            </w:pPr>
            <w:r>
              <w:rPr>
                <w:sz w:val="20"/>
              </w:rPr>
              <w:t>Data and implementation archive</w:t>
            </w:r>
          </w:p>
        </w:tc>
        <w:tc>
          <w:tcPr>
            <w:tcW w:w="4522" w:type="dxa"/>
            <w:tcMar>
              <w:top w:w="75" w:type="dxa"/>
              <w:left w:w="90" w:type="dxa"/>
              <w:bottom w:w="75" w:type="dxa"/>
              <w:right w:w="90" w:type="dxa"/>
            </w:tcMar>
            <w:vAlign w:val="center"/>
          </w:tcPr>
          <w:p w14:paraId="474F1919" w14:textId="77777777" w:rsidR="0001661B" w:rsidRDefault="00000000">
            <w:pPr>
              <w:spacing w:after="0" w:line="240" w:lineRule="auto"/>
            </w:pPr>
            <w:r>
              <w:rPr>
                <w:sz w:val="20"/>
              </w:rPr>
              <w:t>Filenames and intended contents are described.</w:t>
            </w:r>
          </w:p>
        </w:tc>
        <w:tc>
          <w:tcPr>
            <w:tcW w:w="3067" w:type="dxa"/>
            <w:tcMar>
              <w:top w:w="75" w:type="dxa"/>
              <w:left w:w="90" w:type="dxa"/>
              <w:bottom w:w="75" w:type="dxa"/>
              <w:right w:w="90" w:type="dxa"/>
            </w:tcMar>
            <w:vAlign w:val="center"/>
          </w:tcPr>
          <w:p w14:paraId="4082A72E" w14:textId="77777777" w:rsidR="0001661B" w:rsidRDefault="00000000">
            <w:pPr>
              <w:spacing w:after="0" w:line="240" w:lineRule="auto"/>
            </w:pPr>
            <w:r>
              <w:rPr>
                <w:sz w:val="20"/>
              </w:rPr>
              <w:t>Manifest and build matrix remain placeholders.</w:t>
            </w:r>
          </w:p>
        </w:tc>
      </w:tr>
      <w:tr w:rsidR="0001661B" w14:paraId="2ACB2CCD" w14:textId="77777777">
        <w:trPr>
          <w:cantSplit/>
          <w:jc w:val="center"/>
        </w:trPr>
        <w:tc>
          <w:tcPr>
            <w:tcW w:w="1958" w:type="dxa"/>
            <w:tcMar>
              <w:top w:w="75" w:type="dxa"/>
              <w:left w:w="90" w:type="dxa"/>
              <w:bottom w:w="75" w:type="dxa"/>
              <w:right w:w="90" w:type="dxa"/>
            </w:tcMar>
            <w:vAlign w:val="center"/>
          </w:tcPr>
          <w:p w14:paraId="11291D04" w14:textId="77777777" w:rsidR="0001661B" w:rsidRDefault="00000000">
            <w:pPr>
              <w:spacing w:after="0" w:line="240" w:lineRule="auto"/>
            </w:pPr>
            <w:r>
              <w:rPr>
                <w:sz w:val="20"/>
              </w:rPr>
              <w:t>Submission presentation</w:t>
            </w:r>
          </w:p>
        </w:tc>
        <w:tc>
          <w:tcPr>
            <w:tcW w:w="4522" w:type="dxa"/>
            <w:tcMar>
              <w:top w:w="75" w:type="dxa"/>
              <w:left w:w="90" w:type="dxa"/>
              <w:bottom w:w="75" w:type="dxa"/>
              <w:right w:w="90" w:type="dxa"/>
            </w:tcMar>
            <w:vAlign w:val="center"/>
          </w:tcPr>
          <w:p w14:paraId="714ACF08" w14:textId="77777777" w:rsidR="0001661B" w:rsidRDefault="00000000">
            <w:pPr>
              <w:spacing w:after="0" w:line="240" w:lineRule="auto"/>
            </w:pPr>
            <w:r>
              <w:rPr>
                <w:sz w:val="20"/>
              </w:rPr>
              <w:t>New figures and sections support the revised argument.</w:t>
            </w:r>
          </w:p>
        </w:tc>
        <w:tc>
          <w:tcPr>
            <w:tcW w:w="3067" w:type="dxa"/>
            <w:tcMar>
              <w:top w:w="75" w:type="dxa"/>
              <w:left w:w="90" w:type="dxa"/>
              <w:bottom w:w="75" w:type="dxa"/>
              <w:right w:w="90" w:type="dxa"/>
            </w:tcMar>
            <w:vAlign w:val="center"/>
          </w:tcPr>
          <w:p w14:paraId="5DF56907" w14:textId="77777777" w:rsidR="0001661B" w:rsidRDefault="00000000">
            <w:pPr>
              <w:spacing w:after="0" w:line="240" w:lineRule="auto"/>
            </w:pPr>
            <w:r>
              <w:rPr>
                <w:sz w:val="20"/>
              </w:rPr>
              <w:t>Comments, marks, stale lists and unfinished text remain.</w:t>
            </w:r>
          </w:p>
        </w:tc>
      </w:tr>
    </w:tbl>
    <w:p w14:paraId="4F828698" w14:textId="77777777" w:rsidR="0001661B" w:rsidRDefault="0001661B">
      <w:pPr>
        <w:spacing w:after="0"/>
      </w:pPr>
    </w:p>
    <w:p w14:paraId="5D72520E" w14:textId="77777777" w:rsidR="0001661B" w:rsidRDefault="00000000">
      <w:r>
        <w:t>The strongest revisions occur in the abstract, §§1.11–1.13, 2.3.5, 3.5, 6.10–6.11, 7.5.2 and the core conclusion. I would not describe these changes as merely cosmetic. In particular, withdrawing analyses that cannot be reproduced, acknowledging that the hypotheses were not preregistered, and avoiding a fitted predictive model with only eight Stage-3 non-return events are sound decisions. [1, §§3.5, 5.5, 6.10–6.11]</w:t>
      </w:r>
    </w:p>
    <w:p w14:paraId="05C2BEF4" w14:textId="77777777" w:rsidR="0001661B" w:rsidRDefault="00000000">
      <w:r>
        <w:t>Nevertheless, the recommendation remains substantial revision because the principal unresolved questions concern the constitution of the evidence. V40 is closer to a defensible thesis in its reasoning; its documentary completeness has not advanced sufficiently to warrant a minor-corrections judgement on the supplied material. [1, §8.9, Appendices B, D and G]</w:t>
      </w:r>
    </w:p>
    <w:p w14:paraId="1B243E48" w14:textId="77777777" w:rsidR="0001661B" w:rsidRDefault="00000000">
      <w:pPr>
        <w:pStyle w:val="Heading1"/>
        <w:pageBreakBefore/>
      </w:pPr>
      <w:r>
        <w:lastRenderedPageBreak/>
        <w:t>5 Examination of Stages 1 and 2</w:t>
      </w:r>
    </w:p>
    <w:p w14:paraId="58760701" w14:textId="77777777" w:rsidR="0001661B" w:rsidRDefault="00000000">
      <w:pPr>
        <w:pStyle w:val="Heading2"/>
      </w:pPr>
      <w:r>
        <w:t>Stage 1 sampling and denominators</w:t>
      </w:r>
    </w:p>
    <w:p w14:paraId="42F789B4" w14:textId="77777777" w:rsidR="0001661B" w:rsidRDefault="00000000">
      <w:r>
        <w:t>The survey provides a useful account of the local utilisation problem, but its reporting needs a count-based reconstruction. Section 1.6 says that 200 interviewed residents form the denominator for all Stage-1 results, whereas Table 4.1 includes a conditional percentage concerning prior users. The 39% prior-use figure would imply 78 of 200 residents if exact; its source count and the numerator and denominator behind the subsequent 74% are needed. The subgroup behind the 82% figure also needs to be explicit. Rounding should be traceable to integer counts; conditional percentages should not be presented as though all refer to 200 respondents. [1, §1.6, §4.2, Table 4.1, Appendix A]</w:t>
      </w:r>
    </w:p>
    <w:p w14:paraId="2D6A9E27" w14:textId="77777777" w:rsidR="0001661B" w:rsidRDefault="00000000">
      <w:r>
        <w:t>There is a further cohort inconsistency. Stage 1 is described as involving residents aged 65–88. Section 3.4 says Stage-2 invitations went to those 200 survey respondents, yet the later Stage-2 cohort includes a 62-year-old. This may be a reporting error or a broader recruitment route, but the submitted account cannot explain it. A recruitment flow should identify eligibility, invitations, participants, exclusions and any additions between stages. [1, §§3.4, 4.2, 5.4–5.5]</w:t>
      </w:r>
    </w:p>
    <w:p w14:paraId="6E41F6E3" w14:textId="77777777" w:rsidR="0001661B" w:rsidRDefault="00000000">
      <w:pPr>
        <w:pStyle w:val="Heading2"/>
      </w:pPr>
      <w:r>
        <w:t>Stage 2 observation and measurement</w:t>
      </w:r>
    </w:p>
    <w:p w14:paraId="73A94F8F" w14:textId="77777777" w:rsidR="0001661B" w:rsidRDefault="00000000">
      <w:r>
        <w:t>The recorded early-disengagement proportion, 21/30, is a meaningful descriptive result. Section 5.5 defines an attended cycle and acknowledges the observation-derived threshold of three or fewer cycles. It also says individual first-experience adversity was not recorded, leaving H1 untested. Section 3.5's claim that Stage 2 links first failure to dropout therefore remains too strong. Clarify failure, discontinuation and opportunities to return against retained records. Non-return within eight weeks does not establish permanent abandonment; withdrawal of survival modelling without a time variable is appropriate. [1, §§3.5, 5.5–5.6, 6.10.2]</w:t>
      </w:r>
    </w:p>
    <w:p w14:paraId="415E0CC5" w14:textId="77777777" w:rsidR="0001661B" w:rsidRDefault="00000000">
      <w:r>
        <w:t>The most serious measurement inconsistency concerns participant responses. Section 3.4 describes therapist conversations, oral reports to the researcher and researcher-attributed field notes, with no written individual therapist records. Other passages describe after-game paper questionnaires, including an account in Appendix C. These imply different timing, missingness, attribution certainty and measurement bias. One authoritative account must replace the contradiction, variable by variable and participant group by participant group. Recompute or qualify analyses using verified values; if satisfaction or symptom values cannot be reconstructed, withdraw those variables and their dependent claims. [1, §§3.4, 5.2A, 5.6, Appendix C]</w:t>
      </w:r>
    </w:p>
    <w:p w14:paraId="501CCA17" w14:textId="77777777" w:rsidR="0001661B" w:rsidRDefault="00000000">
      <w:pPr>
        <w:pStyle w:val="Heading2"/>
      </w:pPr>
      <w:r>
        <w:t>Interpretation of recorded FRA changes</w:t>
      </w:r>
    </w:p>
    <w:p w14:paraId="7B81BD1A" w14:textId="77777777" w:rsidR="0001661B" w:rsidRDefault="00000000">
      <w:r>
        <w:t>V40 usefully explains that the baseline came from standard-mode assessment and the later value from final gameplay, with variable exposure durations. The paired differences therefore combine possible changes in capability with changes in task context, practice, assistance and measurement conditions. They do not establish an eight-week treatment effect. The residual assertion in §5.5 that recorded increases therefore indicate improvement needs to be limited to an increase in the recorded index. [1, §5.5]</w:t>
      </w:r>
    </w:p>
    <w:p w14:paraId="3B408C1A" w14:textId="77777777" w:rsidR="0001661B" w:rsidRDefault="00000000">
      <w:r>
        <w:t>Kim et al. studied a specified multi-component FRA system under their own protocols. Its reliability findings cannot simply validate the interchangeability of this thesis's standard-mode and game-derived measurements. Nor should a measurement-error threshold from that paper be transferred mechanically without demonstrating that the score and protocol match. Report the exact index, scale, direction, calculation and assessment conditions before making a substantive interpretation of +4.0 or +6.9 points. [1, §§4.1A, 5.2A, 5.5; 7]</w:t>
      </w:r>
    </w:p>
    <w:p w14:paraId="364B8C73" w14:textId="77777777" w:rsidR="0001661B" w:rsidRDefault="00000000">
      <w:pPr>
        <w:pStyle w:val="Heading1"/>
        <w:pageBreakBefore/>
      </w:pPr>
      <w:r>
        <w:lastRenderedPageBreak/>
        <w:t>6 Stage 3 and statistical credibility</w:t>
      </w:r>
    </w:p>
    <w:p w14:paraId="0B57EACD" w14:textId="77777777" w:rsidR="0001661B" w:rsidRDefault="00000000">
      <w:r>
        <w:t>Stage 3 provides encouraging evidence about the feasibility of a different participation package. It cannot isolate the effect of clinical framing because recruitment, age composition, physical input, supervision, location and delivery also changed. The older subgroup is the more relevant descriptive comparator, but age restriction alone does not make the cohorts exchangeable. Return among participants selected by earlier dropout is also a conditional comparison, not an estimate of a treatment effect. V40 now states these limitations clearly in several central sections. [1, §§6.3–6.9]</w:t>
      </w:r>
    </w:p>
    <w:p w14:paraId="46D777D7" w14:textId="77777777" w:rsidR="0001661B" w:rsidRDefault="00000000">
      <w:pPr>
        <w:pStyle w:val="Heading2"/>
      </w:pPr>
      <w:r>
        <w:t>Independent checks of the reported aggregates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3715"/>
        <w:gridCol w:w="2779"/>
      </w:tblGrid>
      <w:tr w:rsidR="0001661B" w14:paraId="0E40E3CC" w14:textId="77777777">
        <w:trPr>
          <w:cantSplit/>
          <w:tblHeader/>
          <w:jc w:val="center"/>
        </w:trPr>
        <w:tc>
          <w:tcPr>
            <w:tcW w:w="3053" w:type="dxa"/>
            <w:shd w:val="clear" w:color="auto" w:fill="E5E8EB"/>
            <w:tcMar>
              <w:top w:w="75" w:type="dxa"/>
              <w:left w:w="90" w:type="dxa"/>
              <w:bottom w:w="75" w:type="dxa"/>
              <w:right w:w="90" w:type="dxa"/>
            </w:tcMar>
            <w:vAlign w:val="center"/>
          </w:tcPr>
          <w:p w14:paraId="531D43E1" w14:textId="77777777" w:rsidR="0001661B" w:rsidRDefault="00000000">
            <w:pPr>
              <w:spacing w:after="0" w:line="240" w:lineRule="auto"/>
            </w:pPr>
            <w:r>
              <w:rPr>
                <w:b/>
                <w:sz w:val="20"/>
              </w:rPr>
              <w:t>Quantity</w:t>
            </w:r>
          </w:p>
        </w:tc>
        <w:tc>
          <w:tcPr>
            <w:tcW w:w="3715" w:type="dxa"/>
            <w:shd w:val="clear" w:color="auto" w:fill="E5E8EB"/>
            <w:tcMar>
              <w:top w:w="75" w:type="dxa"/>
              <w:left w:w="90" w:type="dxa"/>
              <w:bottom w:w="75" w:type="dxa"/>
              <w:right w:w="90" w:type="dxa"/>
            </w:tcMar>
            <w:vAlign w:val="center"/>
          </w:tcPr>
          <w:p w14:paraId="24C1E13C" w14:textId="77777777" w:rsidR="0001661B" w:rsidRDefault="00000000">
            <w:pPr>
              <w:spacing w:after="0" w:line="240" w:lineRule="auto"/>
            </w:pPr>
            <w:r>
              <w:rPr>
                <w:b/>
                <w:sz w:val="20"/>
              </w:rPr>
              <w:t>Recalculation from reported values</w:t>
            </w:r>
          </w:p>
        </w:tc>
        <w:tc>
          <w:tcPr>
            <w:tcW w:w="2779" w:type="dxa"/>
            <w:shd w:val="clear" w:color="auto" w:fill="E5E8EB"/>
            <w:tcMar>
              <w:top w:w="75" w:type="dxa"/>
              <w:left w:w="90" w:type="dxa"/>
              <w:bottom w:w="75" w:type="dxa"/>
              <w:right w:w="90" w:type="dxa"/>
            </w:tcMar>
            <w:vAlign w:val="center"/>
          </w:tcPr>
          <w:p w14:paraId="3CEA941D" w14:textId="77777777" w:rsidR="0001661B" w:rsidRDefault="00000000">
            <w:pPr>
              <w:spacing w:after="0" w:line="240" w:lineRule="auto"/>
            </w:pPr>
            <w:r>
              <w:rPr>
                <w:b/>
                <w:sz w:val="20"/>
              </w:rPr>
              <w:t>Examination implication</w:t>
            </w:r>
          </w:p>
        </w:tc>
      </w:tr>
      <w:tr w:rsidR="0001661B" w14:paraId="76AD6F8F" w14:textId="77777777">
        <w:trPr>
          <w:cantSplit/>
          <w:jc w:val="center"/>
        </w:trPr>
        <w:tc>
          <w:tcPr>
            <w:tcW w:w="3053" w:type="dxa"/>
            <w:tcMar>
              <w:top w:w="75" w:type="dxa"/>
              <w:left w:w="90" w:type="dxa"/>
              <w:bottom w:w="75" w:type="dxa"/>
              <w:right w:w="90" w:type="dxa"/>
            </w:tcMar>
            <w:vAlign w:val="center"/>
          </w:tcPr>
          <w:p w14:paraId="6A6FB29E" w14:textId="77777777" w:rsidR="0001661B" w:rsidRDefault="00000000">
            <w:pPr>
              <w:spacing w:after="0" w:line="240" w:lineRule="auto"/>
            </w:pPr>
            <w:r>
              <w:rPr>
                <w:sz w:val="20"/>
              </w:rPr>
              <w:t>Stage-2 early disengagement</w:t>
            </w:r>
          </w:p>
        </w:tc>
        <w:tc>
          <w:tcPr>
            <w:tcW w:w="3715" w:type="dxa"/>
            <w:tcMar>
              <w:top w:w="75" w:type="dxa"/>
              <w:left w:w="90" w:type="dxa"/>
              <w:bottom w:w="75" w:type="dxa"/>
              <w:right w:w="90" w:type="dxa"/>
            </w:tcMar>
            <w:vAlign w:val="center"/>
          </w:tcPr>
          <w:p w14:paraId="5A24495D" w14:textId="77777777" w:rsidR="0001661B" w:rsidRDefault="00000000">
            <w:pPr>
              <w:spacing w:after="0" w:line="240" w:lineRule="auto"/>
            </w:pPr>
            <w:r>
              <w:rPr>
                <w:sz w:val="20"/>
              </w:rPr>
              <w:t>21/30 = 70.0%; Wilson 95% CI 52.1–83.3%.</w:t>
            </w:r>
          </w:p>
        </w:tc>
        <w:tc>
          <w:tcPr>
            <w:tcW w:w="2779" w:type="dxa"/>
            <w:tcMar>
              <w:top w:w="75" w:type="dxa"/>
              <w:left w:w="90" w:type="dxa"/>
              <w:bottom w:w="75" w:type="dxa"/>
              <w:right w:w="90" w:type="dxa"/>
            </w:tcMar>
            <w:vAlign w:val="center"/>
          </w:tcPr>
          <w:p w14:paraId="3D1F5931" w14:textId="77777777" w:rsidR="0001661B" w:rsidRDefault="00000000">
            <w:pPr>
              <w:spacing w:after="0" w:line="240" w:lineRule="auto"/>
            </w:pPr>
            <w:r>
              <w:rPr>
                <w:sz w:val="20"/>
              </w:rPr>
              <w:t>Reported arithmetic agrees.</w:t>
            </w:r>
          </w:p>
        </w:tc>
      </w:tr>
      <w:tr w:rsidR="0001661B" w14:paraId="622AF8CF" w14:textId="77777777">
        <w:trPr>
          <w:cantSplit/>
          <w:jc w:val="center"/>
        </w:trPr>
        <w:tc>
          <w:tcPr>
            <w:tcW w:w="3053" w:type="dxa"/>
            <w:tcMar>
              <w:top w:w="75" w:type="dxa"/>
              <w:left w:w="90" w:type="dxa"/>
              <w:bottom w:w="75" w:type="dxa"/>
              <w:right w:w="90" w:type="dxa"/>
            </w:tcMar>
            <w:vAlign w:val="center"/>
          </w:tcPr>
          <w:p w14:paraId="769DBB14" w14:textId="77777777" w:rsidR="0001661B" w:rsidRDefault="00000000">
            <w:pPr>
              <w:spacing w:after="0" w:line="240" w:lineRule="auto"/>
            </w:pPr>
            <w:r>
              <w:rPr>
                <w:sz w:val="20"/>
              </w:rPr>
              <w:t>Stage-3 overall retention</w:t>
            </w:r>
          </w:p>
        </w:tc>
        <w:tc>
          <w:tcPr>
            <w:tcW w:w="3715" w:type="dxa"/>
            <w:tcMar>
              <w:top w:w="75" w:type="dxa"/>
              <w:left w:w="90" w:type="dxa"/>
              <w:bottom w:w="75" w:type="dxa"/>
              <w:right w:w="90" w:type="dxa"/>
            </w:tcMar>
            <w:vAlign w:val="center"/>
          </w:tcPr>
          <w:p w14:paraId="1C1EF151" w14:textId="77777777" w:rsidR="0001661B" w:rsidRDefault="00000000">
            <w:pPr>
              <w:spacing w:after="0" w:line="240" w:lineRule="auto"/>
            </w:pPr>
            <w:r>
              <w:rPr>
                <w:sz w:val="20"/>
              </w:rPr>
              <w:t>112/120 = 93.3%, including returned dropouts.</w:t>
            </w:r>
          </w:p>
        </w:tc>
        <w:tc>
          <w:tcPr>
            <w:tcW w:w="2779" w:type="dxa"/>
            <w:tcMar>
              <w:top w:w="75" w:type="dxa"/>
              <w:left w:w="90" w:type="dxa"/>
              <w:bottom w:w="75" w:type="dxa"/>
              <w:right w:w="90" w:type="dxa"/>
            </w:tcMar>
            <w:vAlign w:val="center"/>
          </w:tcPr>
          <w:p w14:paraId="6A1C7E6D" w14:textId="77777777" w:rsidR="0001661B" w:rsidRDefault="00000000">
            <w:pPr>
              <w:spacing w:after="0" w:line="240" w:lineRule="auto"/>
            </w:pPr>
            <w:r>
              <w:rPr>
                <w:sz w:val="20"/>
              </w:rPr>
              <w:t>End-window retention, not uninterrupted use.</w:t>
            </w:r>
          </w:p>
        </w:tc>
      </w:tr>
      <w:tr w:rsidR="0001661B" w14:paraId="1E6C9ABE" w14:textId="77777777">
        <w:trPr>
          <w:cantSplit/>
          <w:jc w:val="center"/>
        </w:trPr>
        <w:tc>
          <w:tcPr>
            <w:tcW w:w="3053" w:type="dxa"/>
            <w:tcMar>
              <w:top w:w="75" w:type="dxa"/>
              <w:left w:w="90" w:type="dxa"/>
              <w:bottom w:w="75" w:type="dxa"/>
              <w:right w:w="90" w:type="dxa"/>
            </w:tcMar>
            <w:vAlign w:val="center"/>
          </w:tcPr>
          <w:p w14:paraId="2597F58B" w14:textId="77777777" w:rsidR="0001661B" w:rsidRDefault="00000000">
            <w:pPr>
              <w:spacing w:after="0" w:line="240" w:lineRule="auto"/>
            </w:pPr>
            <w:r>
              <w:rPr>
                <w:sz w:val="20"/>
              </w:rPr>
              <w:t>Stage-3 older-band retention</w:t>
            </w:r>
          </w:p>
        </w:tc>
        <w:tc>
          <w:tcPr>
            <w:tcW w:w="3715" w:type="dxa"/>
            <w:tcMar>
              <w:top w:w="75" w:type="dxa"/>
              <w:left w:w="90" w:type="dxa"/>
              <w:bottom w:w="75" w:type="dxa"/>
              <w:right w:w="90" w:type="dxa"/>
            </w:tcMar>
            <w:vAlign w:val="center"/>
          </w:tcPr>
          <w:p w14:paraId="51B38EE4" w14:textId="77777777" w:rsidR="0001661B" w:rsidRDefault="00000000">
            <w:pPr>
              <w:spacing w:after="0" w:line="240" w:lineRule="auto"/>
            </w:pPr>
            <w:r>
              <w:rPr>
                <w:sz w:val="20"/>
              </w:rPr>
              <w:t>35/41 = 85.4%.</w:t>
            </w:r>
          </w:p>
        </w:tc>
        <w:tc>
          <w:tcPr>
            <w:tcW w:w="2779" w:type="dxa"/>
            <w:tcMar>
              <w:top w:w="75" w:type="dxa"/>
              <w:left w:w="90" w:type="dxa"/>
              <w:bottom w:w="75" w:type="dxa"/>
              <w:right w:w="90" w:type="dxa"/>
            </w:tcMar>
            <w:vAlign w:val="center"/>
          </w:tcPr>
          <w:p w14:paraId="707D9FE9" w14:textId="77777777" w:rsidR="0001661B" w:rsidRDefault="00000000">
            <w:pPr>
              <w:spacing w:after="0" w:line="240" w:lineRule="auto"/>
            </w:pPr>
            <w:r>
              <w:rPr>
                <w:sz w:val="20"/>
              </w:rPr>
              <w:t>Relevant bounded descriptive result.</w:t>
            </w:r>
          </w:p>
        </w:tc>
      </w:tr>
      <w:tr w:rsidR="0001661B" w14:paraId="166A04C4" w14:textId="77777777">
        <w:trPr>
          <w:cantSplit/>
          <w:jc w:val="center"/>
        </w:trPr>
        <w:tc>
          <w:tcPr>
            <w:tcW w:w="3053" w:type="dxa"/>
            <w:tcMar>
              <w:top w:w="75" w:type="dxa"/>
              <w:left w:w="90" w:type="dxa"/>
              <w:bottom w:w="75" w:type="dxa"/>
              <w:right w:w="90" w:type="dxa"/>
            </w:tcMar>
            <w:vAlign w:val="center"/>
          </w:tcPr>
          <w:p w14:paraId="4779307B" w14:textId="77777777" w:rsidR="0001661B" w:rsidRDefault="00000000">
            <w:pPr>
              <w:spacing w:after="0" w:line="240" w:lineRule="auto"/>
            </w:pPr>
            <w:r>
              <w:rPr>
                <w:sz w:val="20"/>
              </w:rPr>
              <w:t>Return among initial dropouts</w:t>
            </w:r>
          </w:p>
        </w:tc>
        <w:tc>
          <w:tcPr>
            <w:tcW w:w="3715" w:type="dxa"/>
            <w:tcMar>
              <w:top w:w="75" w:type="dxa"/>
              <w:left w:w="90" w:type="dxa"/>
              <w:bottom w:w="75" w:type="dxa"/>
              <w:right w:w="90" w:type="dxa"/>
            </w:tcMar>
            <w:vAlign w:val="center"/>
          </w:tcPr>
          <w:p w14:paraId="0F45C723" w14:textId="77777777" w:rsidR="0001661B" w:rsidRDefault="00000000">
            <w:pPr>
              <w:spacing w:after="0" w:line="240" w:lineRule="auto"/>
            </w:pPr>
            <w:r>
              <w:rPr>
                <w:sz w:val="20"/>
              </w:rPr>
              <w:t>15/23 = 65.2%; older band 10/16 = 62.5%.</w:t>
            </w:r>
          </w:p>
        </w:tc>
        <w:tc>
          <w:tcPr>
            <w:tcW w:w="2779" w:type="dxa"/>
            <w:tcMar>
              <w:top w:w="75" w:type="dxa"/>
              <w:left w:w="90" w:type="dxa"/>
              <w:bottom w:w="75" w:type="dxa"/>
              <w:right w:w="90" w:type="dxa"/>
            </w:tcMar>
            <w:vAlign w:val="center"/>
          </w:tcPr>
          <w:p w14:paraId="02F54523" w14:textId="77777777" w:rsidR="0001661B" w:rsidRDefault="00000000">
            <w:pPr>
              <w:spacing w:after="0" w:line="240" w:lineRule="auto"/>
            </w:pPr>
            <w:r>
              <w:rPr>
                <w:sz w:val="20"/>
              </w:rPr>
              <w:t>Denominators must remain explicit.</w:t>
            </w:r>
          </w:p>
        </w:tc>
      </w:tr>
      <w:tr w:rsidR="0001661B" w14:paraId="746F27C1" w14:textId="77777777">
        <w:trPr>
          <w:cantSplit/>
          <w:jc w:val="center"/>
        </w:trPr>
        <w:tc>
          <w:tcPr>
            <w:tcW w:w="3053" w:type="dxa"/>
            <w:tcMar>
              <w:top w:w="75" w:type="dxa"/>
              <w:left w:w="90" w:type="dxa"/>
              <w:bottom w:w="75" w:type="dxa"/>
              <w:right w:w="90" w:type="dxa"/>
            </w:tcMar>
            <w:vAlign w:val="center"/>
          </w:tcPr>
          <w:p w14:paraId="7C459DC1" w14:textId="77777777" w:rsidR="0001661B" w:rsidRDefault="00000000">
            <w:pPr>
              <w:spacing w:after="0" w:line="240" w:lineRule="auto"/>
            </w:pPr>
            <w:r>
              <w:rPr>
                <w:sz w:val="20"/>
              </w:rPr>
              <w:t>Satisfaction and sustained use</w:t>
            </w:r>
          </w:p>
        </w:tc>
        <w:tc>
          <w:tcPr>
            <w:tcW w:w="3715" w:type="dxa"/>
            <w:tcMar>
              <w:top w:w="75" w:type="dxa"/>
              <w:left w:w="90" w:type="dxa"/>
              <w:bottom w:w="75" w:type="dxa"/>
              <w:right w:w="90" w:type="dxa"/>
            </w:tcMar>
            <w:vAlign w:val="center"/>
          </w:tcPr>
          <w:p w14:paraId="15C2020E" w14:textId="77777777" w:rsidR="0001661B" w:rsidRDefault="00000000">
            <w:pPr>
              <w:spacing w:after="0" w:line="240" w:lineRule="auto"/>
            </w:pPr>
            <w:r>
              <w:rPr>
                <w:sz w:val="20"/>
              </w:rPr>
              <w:t>Fisher two-sided p = 0.0134 from 9/9 versus 11/21.</w:t>
            </w:r>
          </w:p>
        </w:tc>
        <w:tc>
          <w:tcPr>
            <w:tcW w:w="2779" w:type="dxa"/>
            <w:tcMar>
              <w:top w:w="75" w:type="dxa"/>
              <w:left w:w="90" w:type="dxa"/>
              <w:bottom w:w="75" w:type="dxa"/>
              <w:right w:w="90" w:type="dxa"/>
            </w:tcMar>
            <w:vAlign w:val="center"/>
          </w:tcPr>
          <w:p w14:paraId="4ED5A030" w14:textId="77777777" w:rsidR="0001661B" w:rsidRDefault="00000000">
            <w:pPr>
              <w:spacing w:after="0" w:line="240" w:lineRule="auto"/>
            </w:pPr>
            <w:r>
              <w:rPr>
                <w:sz w:val="20"/>
              </w:rPr>
              <w:t>Arithmetic agrees; measurement provenance unresolved.</w:t>
            </w:r>
          </w:p>
        </w:tc>
      </w:tr>
      <w:tr w:rsidR="0001661B" w14:paraId="549F1436" w14:textId="77777777">
        <w:trPr>
          <w:cantSplit/>
          <w:jc w:val="center"/>
        </w:trPr>
        <w:tc>
          <w:tcPr>
            <w:tcW w:w="3053" w:type="dxa"/>
            <w:tcMar>
              <w:top w:w="75" w:type="dxa"/>
              <w:left w:w="90" w:type="dxa"/>
              <w:bottom w:w="75" w:type="dxa"/>
              <w:right w:w="90" w:type="dxa"/>
            </w:tcMar>
            <w:vAlign w:val="center"/>
          </w:tcPr>
          <w:p w14:paraId="6754FA8B" w14:textId="77777777" w:rsidR="0001661B" w:rsidRDefault="00000000">
            <w:pPr>
              <w:spacing w:after="0" w:line="240" w:lineRule="auto"/>
            </w:pPr>
            <w:r>
              <w:rPr>
                <w:sz w:val="20"/>
              </w:rPr>
              <w:t>Age band and initial dropout</w:t>
            </w:r>
          </w:p>
        </w:tc>
        <w:tc>
          <w:tcPr>
            <w:tcW w:w="3715" w:type="dxa"/>
            <w:tcMar>
              <w:top w:w="75" w:type="dxa"/>
              <w:left w:w="90" w:type="dxa"/>
              <w:bottom w:w="75" w:type="dxa"/>
              <w:right w:w="90" w:type="dxa"/>
            </w:tcMar>
            <w:vAlign w:val="center"/>
          </w:tcPr>
          <w:p w14:paraId="421C81D5" w14:textId="77777777" w:rsidR="0001661B" w:rsidRDefault="00000000">
            <w:pPr>
              <w:spacing w:after="0" w:line="240" w:lineRule="auto"/>
            </w:pPr>
            <w:r>
              <w:rPr>
                <w:sz w:val="20"/>
              </w:rPr>
              <w:t>Pearson chi-square = 19.56, df = 2; p approximately 0.0000565.</w:t>
            </w:r>
          </w:p>
        </w:tc>
        <w:tc>
          <w:tcPr>
            <w:tcW w:w="2779" w:type="dxa"/>
            <w:tcMar>
              <w:top w:w="75" w:type="dxa"/>
              <w:left w:w="90" w:type="dxa"/>
              <w:bottom w:w="75" w:type="dxa"/>
              <w:right w:w="90" w:type="dxa"/>
            </w:tcMar>
            <w:vAlign w:val="center"/>
          </w:tcPr>
          <w:p w14:paraId="5AADB254" w14:textId="77777777" w:rsidR="0001661B" w:rsidRDefault="00000000">
            <w:pPr>
              <w:spacing w:after="0" w:line="240" w:lineRule="auto"/>
            </w:pPr>
            <w:r>
              <w:rPr>
                <w:sz w:val="20"/>
              </w:rPr>
              <w:t>Association within this recruited sample.</w:t>
            </w:r>
          </w:p>
        </w:tc>
      </w:tr>
    </w:tbl>
    <w:p w14:paraId="75D73155" w14:textId="77777777" w:rsidR="0001661B" w:rsidRDefault="0001661B">
      <w:pPr>
        <w:spacing w:after="0"/>
      </w:pPr>
    </w:p>
    <w:p w14:paraId="5B8C824A" w14:textId="77777777" w:rsidR="0001661B" w:rsidRDefault="00000000">
      <w:r>
        <w:t>These checks support numerical consistency, not independent validation of the original observations. The reported Wilson intervals agree with the associated counts. The paired-change statistics remain dependent on participant-level workbooks that were not independently examined here. Statistical significance cannot resolve confounding, uncertain variable attribution or a change in measurement protocol. [1, §§5.5, 6.5, 6.11]</w:t>
      </w:r>
    </w:p>
    <w:p w14:paraId="386F26D4" w14:textId="77777777" w:rsidR="0001661B" w:rsidRDefault="00000000">
      <w:pPr>
        <w:pStyle w:val="Heading2"/>
      </w:pPr>
      <w:r>
        <w:t>The interpretation of retention and intention</w:t>
      </w:r>
    </w:p>
    <w:p w14:paraId="1B31539B" w14:textId="77777777" w:rsidR="0001661B" w:rsidRDefault="00000000">
      <w:r>
        <w:t>The older-band difference of 29.3 percentage points is the rounded difference between 35/41 retained and 23/41 expressing regular-use intention. This is an informative contrast between distinct outcomes. Without their joint cross-tabulation, it does not show that a particular set of retained participants lost commitment, nor does it identify the cause of the discrepancy. The explicit qualification in §6.11 is correct and should govern every later reference to the commitment gap. [1, §§6.8, 6.11]</w:t>
      </w:r>
    </w:p>
    <w:p w14:paraId="4E612AD0" w14:textId="77777777" w:rsidR="0001661B" w:rsidRDefault="00000000">
      <w:r>
        <w:t>Appendix D still leaves the administered response scale and bilingual wording unresolved. The thesis must identify the actual instrument, timing, response options and threshold behind the 71.7% endorsement and 63.3% overall intention figures. It also needs an invitation denominator and flow accounting for missing e-mails and game files. Section 6.4 defines initial dropout partly as having no second session within the study window, yet counts subsequent return within that window. This branch of the definition requires an earlier inactivity threshold or checkpoint; otherwise the two classifications are incompatible. Supply the actual timing rule and individual observation windows. [1, §§3.4, 6.4–6.5, Appendix D, Appendix G.3 and G.5]</w:t>
      </w:r>
    </w:p>
    <w:p w14:paraId="00B44EAC" w14:textId="77777777" w:rsidR="0001661B" w:rsidRDefault="00000000">
      <w:r>
        <w:t>The proposed nested-model analysis is sensibly reserved for a future dataset. I would retain its safeguards against predictor–outcome overlap and inadequate event counts, while shortening material that risks making an unexecuted analysis resemble an achieved result. [1, §6.10]</w:t>
      </w:r>
    </w:p>
    <w:p w14:paraId="203ADF8C" w14:textId="77777777" w:rsidR="0001661B" w:rsidRDefault="00000000">
      <w:pPr>
        <w:pStyle w:val="Heading1"/>
        <w:pageBreakBefore/>
      </w:pPr>
      <w:r>
        <w:lastRenderedPageBreak/>
        <w:t>7 Ethics and consent documentation</w:t>
      </w:r>
    </w:p>
    <w:p w14:paraId="0D9EC725" w14:textId="77777777" w:rsidR="0001661B" w:rsidRDefault="00000000">
      <w:r>
        <w:rPr>
          <w:b/>
        </w:rPr>
        <w:t>The documentary scope of ethics authorisation is a condition of further academic judgement.</w:t>
      </w:r>
      <w:r>
        <w:t xml:space="preserve"> Section 3.4 states that the application was submitted on 6 August 2026 and approved in August 2026 after the field stages had occurred. It also states that Stage-2 residents were not told that play formed part of research, that written consent was obtained retrospectively from sustained participants, and that those who dropped out did not sign. The frank disclosure is valuable, but the approval reference and narrative alone do not establish which procedures and data uses were authorised. [1, §3.4]</w:t>
      </w:r>
    </w:p>
    <w:p w14:paraId="1F4A87C9" w14:textId="77777777" w:rsidR="0001661B" w:rsidRDefault="00000000">
      <w:r>
        <w:t>PolyU's current public guidance requires ethical review before permitting a study involving human participants to proceed. Its FAQ distinguishes some audits of pre-existing archived data from studies producing new measurements, and confirms that PolyU clearance requirements extend to work outside Hong Kong. These provisions make the chronology and scope consequential; they do not allow this review to determine the status of the particular case without the institution's documentation. [5, 6]</w:t>
      </w:r>
    </w:p>
    <w:p w14:paraId="0947E1BB" w14:textId="77777777" w:rsidR="0001661B" w:rsidRDefault="00000000">
      <w:r>
        <w:t>The candidate should provide the dated decision, the submitted protocol and relevant correspondence, and obtain an explicit institutional determination covering the earlier field activities and the intended thesis use of their records. That documentation needs to distinguish authorisation of secondary analysis from any determination about the earlier intervention. The report should identify the exact approval date and reproduce the institution's terminology accurately. [1, §3.4; 5, 6]</w:t>
      </w:r>
    </w:p>
    <w:p w14:paraId="25AB8B81" w14:textId="77777777" w:rsidR="0001661B" w:rsidRDefault="00000000">
      <w:r>
        <w:t>For Stage 2, the determination must address incomplete disclosure, gatekeeper permission, retrospective participant consent, debriefing arrangements, the rights of participants who discontinued, and the use of those participants' gameplay, satisfaction and symptom records. For Stage 3, it should identify the information supplied in the distribution e-mail and the basis on which returning files constituted informed consent. If the institution restricts the use of any records, the resulting sample and dependent analyses must be revised accordingly. [1, §§3.4, 8.7]</w:t>
      </w:r>
    </w:p>
    <w:p w14:paraId="41139769" w14:textId="77777777" w:rsidR="0001661B" w:rsidRDefault="00000000">
      <w:r>
        <w:t>A related conceptual issue needs clarification. Stage 2 is treated as clinically coupled even though the manuscript says clinical numbers were absent during play and research participation was undisclosed. This is not necessarily inconsistent: residents may already have understood the station as a clinical assessment service. The thesis must nevertheless document what they knew, what staff said and when results were disclosed. The hypothesised exposure is the participant's experienced clinical meaning, not simply the hidden presence of a measurement pathway. [1, §§3.4, 5.2A, 5.3.3, 6.3]</w:t>
      </w:r>
    </w:p>
    <w:p w14:paraId="27A47A8A" w14:textId="77777777" w:rsidR="0001661B" w:rsidRDefault="00000000">
      <w:r>
        <w:t>This assessment does not allege misconduct, fabricate an institutional ruling, or presume that all data are unusable. It identifies a matter that must be determined by the appropriate PolyU authority and reflected accurately in the examination record. A later approval statement should neither be dismissed without inspection nor assumed to resolve all earlier procedures automatically.</w:t>
      </w:r>
    </w:p>
    <w:p w14:paraId="6BFDC4C4" w14:textId="77777777" w:rsidR="0001661B" w:rsidRDefault="00000000">
      <w:pPr>
        <w:pStyle w:val="Heading1"/>
        <w:pageBreakBefore/>
      </w:pPr>
      <w:r>
        <w:lastRenderedPageBreak/>
        <w:t>8 Reproducibility and the engineering record</w:t>
      </w:r>
    </w:p>
    <w:p w14:paraId="01727BBB" w14:textId="77777777" w:rsidR="0001661B" w:rsidRDefault="00000000">
      <w:pPr>
        <w:pStyle w:val="Heading2"/>
      </w:pPr>
      <w:r>
        <w:t>The archive must be inspectable</w:t>
      </w:r>
    </w:p>
    <w:p w14:paraId="20017766" w14:textId="77777777" w:rsidR="0001661B" w:rsidRDefault="00000000">
      <w:r>
        <w:t>Section 8.9 says that instruments, code, data, consent materials and a complete FIAS codebook with inter-coder reliability are bound in the appendices. Appendix B, however, says the full item scheme is not reproduced and places its completion in future work. Appendix D leaves instrument details unresolved; Appendix G.0 and G.0A remain author-input placeholders. These are direct contradictions between claims of completeness and the material actually presented. [1, §8.9, Appendices B, D and G]</w:t>
      </w:r>
    </w:p>
    <w:p w14:paraId="734E3BF3" w14:textId="77777777" w:rsidR="0001661B" w:rsidRDefault="00000000">
      <w:r>
        <w:t>A completed source-to-result manifest should identify each original record, collection period, participant coverage, processing steps, derived variables, output tables and examiner access route. A reconciliation workbook can establish consistency between entered rows and totals, but cannot by itself establish that the rows reproduce authentic contemporaneous observations. A small, de-identified trace from primary returned records to analysis rows and published aggregates would be more probative. Records that were not retained should be identified plainly, with the resulting limits on the claims. [1, Appendix G.0–G.3]</w:t>
      </w:r>
    </w:p>
    <w:p w14:paraId="1B5ED1F4" w14:textId="77777777" w:rsidR="0001661B" w:rsidRDefault="00000000">
      <w:r>
        <w:t>The synthetic pipeline-test dataset is explicitly distinguished from human data, which is appropriate. Its role should remain limited to software and workbook verification. The source manifest should preserve that separation. Similarly, Appendix G.4 lists consented deployment photographs, whereas Figure 5.1A says participant photography was prohibited and no participant play imagery exists. The archive description should state what images actually exist and label demonstrations and successor-build screenshots accurately. [1, §5.3.3, Appendix G.4, G.8 and G.10]</w:t>
      </w:r>
    </w:p>
    <w:p w14:paraId="1FA93251" w14:textId="77777777" w:rsidR="0001661B" w:rsidRDefault="00000000">
      <w:pPr>
        <w:pStyle w:val="Heading2"/>
      </w:pPr>
      <w:r>
        <w:t>Establish what was built and deployed</w:t>
      </w:r>
    </w:p>
    <w:p w14:paraId="38FC1B80" w14:textId="77777777" w:rsidR="0001661B" w:rsidRDefault="00000000">
      <w:r>
        <w:t>The chronology note in §5.3.9 correctly separates early prototypes from development using Claude Code after its availability. That resolves the broad chronological impossibility, but the missing build matrix still prevents a precise account of which hardware, software and controller reached each cohort. A demonstrator, the Stage-2 build, the Stage-3 HTML port and later successor builds should each have a dated identifier and a statement of functionality actually present. [1, §§5.3.9–5.3.10, Appendix G.0A]</w:t>
      </w:r>
    </w:p>
    <w:p w14:paraId="3AB7E1AE" w14:textId="77777777" w:rsidR="0001661B" w:rsidRDefault="00000000">
      <w:r>
        <w:t>The thesis describes a LangChain and language-model controller, threshold rules, five-minute updates, clinical outputs and detailed logging. The examination record should show which functions were operational, which were tested only on synthetic profiles, and which were proposed. Where model calls occurred, provide the endpoint, prompt and settings, bounded outputs, fallback behaviour and retained examples. Where logging capability existed but logs were not retained, distinguish capability from available evidence. [1, §§5.3.4–5.3.7, Appendix E, Appendix G.7]</w:t>
      </w:r>
    </w:p>
    <w:p w14:paraId="3B59A46E" w14:textId="77777777" w:rsidR="0001661B" w:rsidRDefault="00000000">
      <w:r>
        <w:t>Proportionate verification would include examples of sensor-to-game mapping, safe controller behaviour and fault handling, supported by contemporaneous test records where available. There is no need to invent unavailable measurements or retrospectively manufacture deployment logs. Claims should contract to the record. The categorical statement that neither the gameplay nor clinical role compromised the other should be removed unless supported by an appropriate equivalence or validation study. [1, §§5.3.1, 8.6A; 7]</w:t>
      </w:r>
    </w:p>
    <w:p w14:paraId="7905F017" w14:textId="77777777" w:rsidR="0001661B" w:rsidRDefault="00000000">
      <w:pPr>
        <w:pStyle w:val="Heading1"/>
        <w:pageBreakBefore/>
      </w:pPr>
      <w:r>
        <w:lastRenderedPageBreak/>
        <w:t>9 Remaining argument and literature corrections</w:t>
      </w:r>
    </w:p>
    <w:p w14:paraId="73D8A447" w14:textId="77777777" w:rsidR="0001661B" w:rsidRDefault="00000000">
      <w:r>
        <w:t>Several passages still use causal or exclusive language that the revised thesis no longer supports. Section 5.6 describes a cause-and-consequence chain and a loss-aversion signature from indirect observations. Section 7.4 presents exactly three principles as necessary and non-redundant, and says Stage 3 treated the target link alone despite its multiple simultaneous changes. Section 8.5.9 excludes ordinary attrition too strongly. Present these as interpretations and a selected design decomposition. Section 8.3 also claims that most single-session participants increased their index without perceived improvement. The separate margins permit an overlap of only three to five of eight; a majority requires the actual joint table. [1, §§5.5–5.6, 7.4, 8.3, 8.5.9]</w:t>
      </w:r>
    </w:p>
    <w:p w14:paraId="592336A5" w14:textId="77777777" w:rsidR="0001661B" w:rsidRDefault="00000000">
      <w:r>
        <w:t>Section 1.4's categorical claim about why existing FRA systems fail also exceeds the local evidence. Clinical utility, usability, physical demands, relevance and practical consequences have not been excluded across existing systems. The revised service-design framing already provides a stronger, narrower foundation and should replace this generalisation. [1, §§1.2, 1.4]</w:t>
      </w:r>
    </w:p>
    <w:p w14:paraId="36F445B6" w14:textId="77777777" w:rsidR="0001661B" w:rsidRDefault="00000000">
      <w:pPr>
        <w:pStyle w:val="Heading2"/>
      </w:pPr>
      <w:r>
        <w:t>The industrial comparison needs correction</w:t>
      </w:r>
    </w:p>
    <w:p w14:paraId="542334ED" w14:textId="77777777" w:rsidR="0001661B" w:rsidRDefault="00000000">
      <w:r>
        <w:t>Section 7.9 states that engagement without clinical purpose is commercially solved and uses GrandPad in a dichotomy between clinical measurement and sustained engagement. GrandPad's own enterprise materials describe connected-device data collection and abnormal-range alerts; its Element Care case describes remote monitoring. These examples do not establish a solution to the thesis's FRA problem, but they do make a blanket claim of absent clinical measurement untenable. [1, §7.9, Figure 8.1; 10, 11]</w:t>
      </w:r>
    </w:p>
    <w:p w14:paraId="65B251D2" w14:textId="77777777" w:rsidR="0001661B" w:rsidRDefault="00000000">
      <w:r>
        <w:t>Replace the dichotomy with a configuration-specific comparison covering population, functions, supervision, clinical purpose, follow-up and evidence of repeated use. Figure 8.1 should position the proposed framework as an intended design target, not as a demonstrated combination of high clinical capability and sustained engagement. Permanent abandonment and improved capability should not appear as established outcomes in that figure or its surrounding prose. [1, §7.9, Figure 8.1]</w:t>
      </w:r>
    </w:p>
    <w:p w14:paraId="04F9CA72" w14:textId="77777777" w:rsidR="0001661B" w:rsidRDefault="00000000">
      <w:pPr>
        <w:pStyle w:val="Heading2"/>
      </w:pPr>
      <w:r>
        <w:t>Citation quality and use</w:t>
      </w:r>
    </w:p>
    <w:p w14:paraId="7DD83321" w14:textId="77777777" w:rsidR="0001661B" w:rsidRDefault="00000000">
      <w:r>
        <w:t>Targeted source checking supports the existence of the central An, Cheung and Willoughby article, including its DOI ending in 123456; that identifier should not be mistaken for a placeholder. Kim et al.'s reliability study is also real, but its protocol and composite score limit its application to the present game-derived index. The critical issue is accurate use of evidence, rather than an unsupported accusation that unusual-looking citations are fabricated. [7, 9]</w:t>
      </w:r>
    </w:p>
    <w:p w14:paraId="6A2E7046" w14:textId="77777777" w:rsidR="0001661B" w:rsidRDefault="00000000">
      <w:r>
        <w:t>The learning-versus-performance distinction is now used well. The same discipline should govern innovation claims: a changed or implemented design and its demonstrated benefit are separate propositions. The Oslo Manual supports the implementation dimension of innovation, while the thesis must supply its own evidence for improved outcomes. Literature on attrition and continuance should remain active comparators when explaining non-return, not merely citations acknowledged before those explanations are dismissed. [1, §§7.5.2, 7.9; 8, 12–14]</w:t>
      </w:r>
    </w:p>
    <w:p w14:paraId="12960DDE" w14:textId="77777777" w:rsidR="0001661B" w:rsidRDefault="00000000">
      <w:r>
        <w:t>Correct §1.3's approximately 297 million people aged 60 or above in China in 2024: the official end-2024 figure is 310.31 million. The final citation pass should check dates, denominators, publication status and figure attribution throughout; this review is not a certification of the entire bibliography. Remove eight comment anchors, remaining highlights and author-input stubs, and regenerate contents and illustration lists. The contents entry for §1.2, for example, does not match its revised heading. [1, §1.3, front matter and author completion checklist; 15]</w:t>
      </w:r>
    </w:p>
    <w:p w14:paraId="219EA85C" w14:textId="77777777" w:rsidR="0001661B" w:rsidRDefault="00000000">
      <w:pPr>
        <w:pStyle w:val="Heading1"/>
        <w:pageBreakBefore/>
      </w:pPr>
      <w:r>
        <w:lastRenderedPageBreak/>
        <w:t>10 Required revisions and evidence of completion</w:t>
      </w:r>
    </w:p>
    <w:p w14:paraId="5EAD996D" w14:textId="77777777" w:rsidR="0001661B" w:rsidRDefault="00000000">
      <w:r>
        <w:t>The order below reflects dependency. Establishing the permissible and reconstructible dataset comes before refining statistical interpretation or polishing the final thesis. The required outputs are evidence of completion, rather than promises to complete the work.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21"/>
        <w:gridCol w:w="3816"/>
        <w:gridCol w:w="4910"/>
      </w:tblGrid>
      <w:tr w:rsidR="0001661B" w14:paraId="745CDB93" w14:textId="77777777">
        <w:trPr>
          <w:cantSplit/>
          <w:tblHeader/>
          <w:jc w:val="center"/>
        </w:trPr>
        <w:tc>
          <w:tcPr>
            <w:tcW w:w="821" w:type="dxa"/>
            <w:shd w:val="clear" w:color="auto" w:fill="E5E8EB"/>
            <w:tcMar>
              <w:top w:w="75" w:type="dxa"/>
              <w:left w:w="90" w:type="dxa"/>
              <w:bottom w:w="75" w:type="dxa"/>
              <w:right w:w="90" w:type="dxa"/>
            </w:tcMar>
            <w:vAlign w:val="center"/>
          </w:tcPr>
          <w:p w14:paraId="44E3D9CB" w14:textId="77777777" w:rsidR="0001661B" w:rsidRDefault="00000000">
            <w:pPr>
              <w:spacing w:after="0" w:line="240" w:lineRule="auto"/>
              <w:jc w:val="center"/>
            </w:pPr>
            <w:r>
              <w:rPr>
                <w:b/>
                <w:sz w:val="20"/>
              </w:rPr>
              <w:t>Order</w:t>
            </w:r>
          </w:p>
        </w:tc>
        <w:tc>
          <w:tcPr>
            <w:tcW w:w="3816" w:type="dxa"/>
            <w:shd w:val="clear" w:color="auto" w:fill="E5E8EB"/>
            <w:tcMar>
              <w:top w:w="75" w:type="dxa"/>
              <w:left w:w="90" w:type="dxa"/>
              <w:bottom w:w="75" w:type="dxa"/>
              <w:right w:w="90" w:type="dxa"/>
            </w:tcMar>
            <w:vAlign w:val="center"/>
          </w:tcPr>
          <w:p w14:paraId="74270980" w14:textId="77777777" w:rsidR="0001661B" w:rsidRDefault="00000000">
            <w:pPr>
              <w:spacing w:after="0" w:line="240" w:lineRule="auto"/>
            </w:pPr>
            <w:r>
              <w:rPr>
                <w:b/>
                <w:sz w:val="20"/>
              </w:rPr>
              <w:t>Required revision</w:t>
            </w:r>
          </w:p>
        </w:tc>
        <w:tc>
          <w:tcPr>
            <w:tcW w:w="4910" w:type="dxa"/>
            <w:shd w:val="clear" w:color="auto" w:fill="E5E8EB"/>
            <w:tcMar>
              <w:top w:w="75" w:type="dxa"/>
              <w:left w:w="90" w:type="dxa"/>
              <w:bottom w:w="75" w:type="dxa"/>
              <w:right w:w="90" w:type="dxa"/>
            </w:tcMar>
            <w:vAlign w:val="center"/>
          </w:tcPr>
          <w:p w14:paraId="18A45BA7" w14:textId="77777777" w:rsidR="0001661B" w:rsidRDefault="00000000">
            <w:pPr>
              <w:spacing w:after="0" w:line="240" w:lineRule="auto"/>
            </w:pPr>
            <w:r>
              <w:rPr>
                <w:b/>
                <w:sz w:val="20"/>
              </w:rPr>
              <w:t>Evidence that closes the issue</w:t>
            </w:r>
          </w:p>
        </w:tc>
      </w:tr>
      <w:tr w:rsidR="0001661B" w14:paraId="02B15DAF" w14:textId="77777777">
        <w:trPr>
          <w:cantSplit/>
          <w:jc w:val="center"/>
        </w:trPr>
        <w:tc>
          <w:tcPr>
            <w:tcW w:w="821" w:type="dxa"/>
            <w:tcMar>
              <w:top w:w="75" w:type="dxa"/>
              <w:left w:w="90" w:type="dxa"/>
              <w:bottom w:w="75" w:type="dxa"/>
              <w:right w:w="90" w:type="dxa"/>
            </w:tcMar>
            <w:vAlign w:val="center"/>
          </w:tcPr>
          <w:p w14:paraId="2960824D" w14:textId="77777777" w:rsidR="0001661B" w:rsidRDefault="00000000">
            <w:pPr>
              <w:spacing w:after="0" w:line="240" w:lineRule="auto"/>
              <w:jc w:val="center"/>
            </w:pPr>
            <w:r>
              <w:rPr>
                <w:sz w:val="20"/>
              </w:rPr>
              <w:t>1</w:t>
            </w:r>
          </w:p>
        </w:tc>
        <w:tc>
          <w:tcPr>
            <w:tcW w:w="3816" w:type="dxa"/>
            <w:tcMar>
              <w:top w:w="75" w:type="dxa"/>
              <w:left w:w="90" w:type="dxa"/>
              <w:bottom w:w="75" w:type="dxa"/>
              <w:right w:w="90" w:type="dxa"/>
            </w:tcMar>
            <w:vAlign w:val="center"/>
          </w:tcPr>
          <w:p w14:paraId="76738D06" w14:textId="77777777" w:rsidR="0001661B" w:rsidRDefault="00000000">
            <w:pPr>
              <w:spacing w:after="0" w:line="240" w:lineRule="auto"/>
            </w:pPr>
            <w:r>
              <w:rPr>
                <w:sz w:val="20"/>
              </w:rPr>
              <w:t>Resolve ethics and consent scope.</w:t>
            </w:r>
          </w:p>
        </w:tc>
        <w:tc>
          <w:tcPr>
            <w:tcW w:w="4910" w:type="dxa"/>
            <w:tcMar>
              <w:top w:w="75" w:type="dxa"/>
              <w:left w:w="90" w:type="dxa"/>
              <w:bottom w:w="75" w:type="dxa"/>
              <w:right w:w="90" w:type="dxa"/>
            </w:tcMar>
            <w:vAlign w:val="center"/>
          </w:tcPr>
          <w:p w14:paraId="49F62334" w14:textId="77777777" w:rsidR="0001661B" w:rsidRDefault="00000000">
            <w:pPr>
              <w:spacing w:after="0" w:line="240" w:lineRule="auto"/>
            </w:pPr>
            <w:r>
              <w:rPr>
                <w:sz w:val="20"/>
              </w:rPr>
              <w:t>Dated institutional decision and an accurate account of permitted data use.</w:t>
            </w:r>
          </w:p>
        </w:tc>
      </w:tr>
      <w:tr w:rsidR="0001661B" w14:paraId="3BB0C742" w14:textId="77777777">
        <w:trPr>
          <w:cantSplit/>
          <w:jc w:val="center"/>
        </w:trPr>
        <w:tc>
          <w:tcPr>
            <w:tcW w:w="821" w:type="dxa"/>
            <w:tcMar>
              <w:top w:w="75" w:type="dxa"/>
              <w:left w:w="90" w:type="dxa"/>
              <w:bottom w:w="75" w:type="dxa"/>
              <w:right w:w="90" w:type="dxa"/>
            </w:tcMar>
            <w:vAlign w:val="center"/>
          </w:tcPr>
          <w:p w14:paraId="6963A33E" w14:textId="77777777" w:rsidR="0001661B" w:rsidRDefault="00000000">
            <w:pPr>
              <w:spacing w:after="0" w:line="240" w:lineRule="auto"/>
              <w:jc w:val="center"/>
            </w:pPr>
            <w:r>
              <w:rPr>
                <w:sz w:val="20"/>
              </w:rPr>
              <w:t>2</w:t>
            </w:r>
          </w:p>
        </w:tc>
        <w:tc>
          <w:tcPr>
            <w:tcW w:w="3816" w:type="dxa"/>
            <w:tcMar>
              <w:top w:w="75" w:type="dxa"/>
              <w:left w:w="90" w:type="dxa"/>
              <w:bottom w:w="75" w:type="dxa"/>
              <w:right w:w="90" w:type="dxa"/>
            </w:tcMar>
            <w:vAlign w:val="center"/>
          </w:tcPr>
          <w:p w14:paraId="2E7A62DC" w14:textId="77777777" w:rsidR="0001661B" w:rsidRDefault="00000000">
            <w:pPr>
              <w:spacing w:after="0" w:line="240" w:lineRule="auto"/>
            </w:pPr>
            <w:r>
              <w:rPr>
                <w:sz w:val="20"/>
              </w:rPr>
              <w:t>Reconcile Stage-2 response provenance.</w:t>
            </w:r>
          </w:p>
        </w:tc>
        <w:tc>
          <w:tcPr>
            <w:tcW w:w="4910" w:type="dxa"/>
            <w:tcMar>
              <w:top w:w="75" w:type="dxa"/>
              <w:left w:w="90" w:type="dxa"/>
              <w:bottom w:w="75" w:type="dxa"/>
              <w:right w:w="90" w:type="dxa"/>
            </w:tcMar>
            <w:vAlign w:val="center"/>
          </w:tcPr>
          <w:p w14:paraId="282F5A87" w14:textId="77777777" w:rsidR="0001661B" w:rsidRDefault="00000000">
            <w:pPr>
              <w:spacing w:after="0" w:line="240" w:lineRule="auto"/>
            </w:pPr>
            <w:r>
              <w:rPr>
                <w:sz w:val="20"/>
              </w:rPr>
              <w:t>One variable-level account, sources and participant coverage; revised analyses where needed.</w:t>
            </w:r>
          </w:p>
        </w:tc>
      </w:tr>
      <w:tr w:rsidR="0001661B" w14:paraId="1A0FD00E" w14:textId="77777777">
        <w:trPr>
          <w:cantSplit/>
          <w:jc w:val="center"/>
        </w:trPr>
        <w:tc>
          <w:tcPr>
            <w:tcW w:w="821" w:type="dxa"/>
            <w:tcMar>
              <w:top w:w="75" w:type="dxa"/>
              <w:left w:w="90" w:type="dxa"/>
              <w:bottom w:w="75" w:type="dxa"/>
              <w:right w:w="90" w:type="dxa"/>
            </w:tcMar>
            <w:vAlign w:val="center"/>
          </w:tcPr>
          <w:p w14:paraId="07D8FD21" w14:textId="77777777" w:rsidR="0001661B" w:rsidRDefault="00000000">
            <w:pPr>
              <w:spacing w:after="0" w:line="240" w:lineRule="auto"/>
              <w:jc w:val="center"/>
            </w:pPr>
            <w:r>
              <w:rPr>
                <w:sz w:val="20"/>
              </w:rPr>
              <w:t>3</w:t>
            </w:r>
          </w:p>
        </w:tc>
        <w:tc>
          <w:tcPr>
            <w:tcW w:w="3816" w:type="dxa"/>
            <w:tcMar>
              <w:top w:w="75" w:type="dxa"/>
              <w:left w:w="90" w:type="dxa"/>
              <w:bottom w:w="75" w:type="dxa"/>
              <w:right w:w="90" w:type="dxa"/>
            </w:tcMar>
            <w:vAlign w:val="center"/>
          </w:tcPr>
          <w:p w14:paraId="2A739FC6" w14:textId="77777777" w:rsidR="0001661B" w:rsidRDefault="00000000">
            <w:pPr>
              <w:spacing w:after="0" w:line="240" w:lineRule="auto"/>
            </w:pPr>
            <w:r>
              <w:rPr>
                <w:sz w:val="20"/>
              </w:rPr>
              <w:t>Complete source-to-result traceability.</w:t>
            </w:r>
          </w:p>
        </w:tc>
        <w:tc>
          <w:tcPr>
            <w:tcW w:w="4910" w:type="dxa"/>
            <w:tcMar>
              <w:top w:w="75" w:type="dxa"/>
              <w:left w:w="90" w:type="dxa"/>
              <w:bottom w:w="75" w:type="dxa"/>
              <w:right w:w="90" w:type="dxa"/>
            </w:tcMar>
            <w:vAlign w:val="center"/>
          </w:tcPr>
          <w:p w14:paraId="30C53F07" w14:textId="77777777" w:rsidR="0001661B" w:rsidRDefault="00000000">
            <w:pPr>
              <w:spacing w:after="0" w:line="240" w:lineRule="auto"/>
            </w:pPr>
            <w:r>
              <w:rPr>
                <w:sz w:val="20"/>
              </w:rPr>
              <w:t>Accessible manifest linking primary records, dataset rows, derivations and reported tables.</w:t>
            </w:r>
          </w:p>
        </w:tc>
      </w:tr>
      <w:tr w:rsidR="0001661B" w14:paraId="1C6905A0" w14:textId="77777777">
        <w:trPr>
          <w:cantSplit/>
          <w:jc w:val="center"/>
        </w:trPr>
        <w:tc>
          <w:tcPr>
            <w:tcW w:w="821" w:type="dxa"/>
            <w:tcMar>
              <w:top w:w="75" w:type="dxa"/>
              <w:left w:w="90" w:type="dxa"/>
              <w:bottom w:w="75" w:type="dxa"/>
              <w:right w:w="90" w:type="dxa"/>
            </w:tcMar>
            <w:vAlign w:val="center"/>
          </w:tcPr>
          <w:p w14:paraId="6BAD5AC3" w14:textId="77777777" w:rsidR="0001661B" w:rsidRDefault="00000000">
            <w:pPr>
              <w:spacing w:after="0" w:line="240" w:lineRule="auto"/>
              <w:jc w:val="center"/>
            </w:pPr>
            <w:r>
              <w:rPr>
                <w:sz w:val="20"/>
              </w:rPr>
              <w:t>4</w:t>
            </w:r>
          </w:p>
        </w:tc>
        <w:tc>
          <w:tcPr>
            <w:tcW w:w="3816" w:type="dxa"/>
            <w:tcMar>
              <w:top w:w="75" w:type="dxa"/>
              <w:left w:w="90" w:type="dxa"/>
              <w:bottom w:w="75" w:type="dxa"/>
              <w:right w:w="90" w:type="dxa"/>
            </w:tcMar>
            <w:vAlign w:val="center"/>
          </w:tcPr>
          <w:p w14:paraId="747FD516" w14:textId="77777777" w:rsidR="0001661B" w:rsidRDefault="00000000">
            <w:pPr>
              <w:spacing w:after="0" w:line="240" w:lineRule="auto"/>
            </w:pPr>
            <w:r>
              <w:rPr>
                <w:sz w:val="20"/>
              </w:rPr>
              <w:t>Fix instruments and coding status.</w:t>
            </w:r>
          </w:p>
        </w:tc>
        <w:tc>
          <w:tcPr>
            <w:tcW w:w="4910" w:type="dxa"/>
            <w:tcMar>
              <w:top w:w="75" w:type="dxa"/>
              <w:left w:w="90" w:type="dxa"/>
              <w:bottom w:w="75" w:type="dxa"/>
              <w:right w:w="90" w:type="dxa"/>
            </w:tcMar>
            <w:vAlign w:val="center"/>
          </w:tcPr>
          <w:p w14:paraId="671E9C8F" w14:textId="77777777" w:rsidR="0001661B" w:rsidRDefault="00000000">
            <w:pPr>
              <w:spacing w:after="0" w:line="240" w:lineRule="auto"/>
            </w:pPr>
            <w:r>
              <w:rPr>
                <w:sz w:val="20"/>
              </w:rPr>
              <w:t>Administered wording and scales; documented codebook, or removal of unsupported composite claims.</w:t>
            </w:r>
          </w:p>
        </w:tc>
      </w:tr>
      <w:tr w:rsidR="0001661B" w14:paraId="03E1D670" w14:textId="77777777">
        <w:trPr>
          <w:cantSplit/>
          <w:jc w:val="center"/>
        </w:trPr>
        <w:tc>
          <w:tcPr>
            <w:tcW w:w="821" w:type="dxa"/>
            <w:tcMar>
              <w:top w:w="75" w:type="dxa"/>
              <w:left w:w="90" w:type="dxa"/>
              <w:bottom w:w="75" w:type="dxa"/>
              <w:right w:w="90" w:type="dxa"/>
            </w:tcMar>
            <w:vAlign w:val="center"/>
          </w:tcPr>
          <w:p w14:paraId="04097F47" w14:textId="77777777" w:rsidR="0001661B" w:rsidRDefault="00000000">
            <w:pPr>
              <w:spacing w:after="0" w:line="240" w:lineRule="auto"/>
              <w:jc w:val="center"/>
            </w:pPr>
            <w:r>
              <w:rPr>
                <w:sz w:val="20"/>
              </w:rPr>
              <w:t>5</w:t>
            </w:r>
          </w:p>
        </w:tc>
        <w:tc>
          <w:tcPr>
            <w:tcW w:w="3816" w:type="dxa"/>
            <w:tcMar>
              <w:top w:w="75" w:type="dxa"/>
              <w:left w:w="90" w:type="dxa"/>
              <w:bottom w:w="75" w:type="dxa"/>
              <w:right w:w="90" w:type="dxa"/>
            </w:tcMar>
            <w:vAlign w:val="center"/>
          </w:tcPr>
          <w:p w14:paraId="7B648A73" w14:textId="77777777" w:rsidR="0001661B" w:rsidRDefault="00000000">
            <w:pPr>
              <w:spacing w:after="0" w:line="240" w:lineRule="auto"/>
            </w:pPr>
            <w:r>
              <w:rPr>
                <w:sz w:val="20"/>
              </w:rPr>
              <w:t>Resolve cohort and outcome definitions.</w:t>
            </w:r>
          </w:p>
        </w:tc>
        <w:tc>
          <w:tcPr>
            <w:tcW w:w="4910" w:type="dxa"/>
            <w:tcMar>
              <w:top w:w="75" w:type="dxa"/>
              <w:left w:w="90" w:type="dxa"/>
              <w:bottom w:w="75" w:type="dxa"/>
              <w:right w:w="90" w:type="dxa"/>
            </w:tcMar>
            <w:vAlign w:val="center"/>
          </w:tcPr>
          <w:p w14:paraId="5B205ECD" w14:textId="77777777" w:rsidR="0001661B" w:rsidRDefault="00000000">
            <w:pPr>
              <w:spacing w:after="0" w:line="240" w:lineRule="auto"/>
            </w:pPr>
            <w:r>
              <w:rPr>
                <w:sz w:val="20"/>
              </w:rPr>
              <w:t>Recruitment flow, integer denominators, age reconciliation, and return-ascertainment rules.</w:t>
            </w:r>
          </w:p>
        </w:tc>
      </w:tr>
      <w:tr w:rsidR="0001661B" w14:paraId="37562A59" w14:textId="77777777">
        <w:trPr>
          <w:cantSplit/>
          <w:jc w:val="center"/>
        </w:trPr>
        <w:tc>
          <w:tcPr>
            <w:tcW w:w="821" w:type="dxa"/>
            <w:tcMar>
              <w:top w:w="75" w:type="dxa"/>
              <w:left w:w="90" w:type="dxa"/>
              <w:bottom w:w="75" w:type="dxa"/>
              <w:right w:w="90" w:type="dxa"/>
            </w:tcMar>
            <w:vAlign w:val="center"/>
          </w:tcPr>
          <w:p w14:paraId="09EC32C0" w14:textId="77777777" w:rsidR="0001661B" w:rsidRDefault="00000000">
            <w:pPr>
              <w:spacing w:after="0" w:line="240" w:lineRule="auto"/>
              <w:jc w:val="center"/>
            </w:pPr>
            <w:r>
              <w:rPr>
                <w:sz w:val="20"/>
              </w:rPr>
              <w:t>6</w:t>
            </w:r>
          </w:p>
        </w:tc>
        <w:tc>
          <w:tcPr>
            <w:tcW w:w="3816" w:type="dxa"/>
            <w:tcMar>
              <w:top w:w="75" w:type="dxa"/>
              <w:left w:w="90" w:type="dxa"/>
              <w:bottom w:w="75" w:type="dxa"/>
              <w:right w:w="90" w:type="dxa"/>
            </w:tcMar>
            <w:vAlign w:val="center"/>
          </w:tcPr>
          <w:p w14:paraId="45639BBC" w14:textId="77777777" w:rsidR="0001661B" w:rsidRDefault="00000000">
            <w:pPr>
              <w:spacing w:after="0" w:line="240" w:lineRule="auto"/>
            </w:pPr>
            <w:r>
              <w:rPr>
                <w:sz w:val="20"/>
              </w:rPr>
              <w:t>Define the FRA index and comparison.</w:t>
            </w:r>
          </w:p>
        </w:tc>
        <w:tc>
          <w:tcPr>
            <w:tcW w:w="4910" w:type="dxa"/>
            <w:tcMar>
              <w:top w:w="75" w:type="dxa"/>
              <w:left w:w="90" w:type="dxa"/>
              <w:bottom w:w="75" w:type="dxa"/>
              <w:right w:w="90" w:type="dxa"/>
            </w:tcMar>
            <w:vAlign w:val="center"/>
          </w:tcPr>
          <w:p w14:paraId="195A46AD" w14:textId="77777777" w:rsidR="0001661B" w:rsidRDefault="00000000">
            <w:pPr>
              <w:spacing w:after="0" w:line="240" w:lineRule="auto"/>
            </w:pPr>
            <w:r>
              <w:rPr>
                <w:sz w:val="20"/>
              </w:rPr>
              <w:t>Exact score, protocol and timing; claims limited to what cross-context pairing supports.</w:t>
            </w:r>
          </w:p>
        </w:tc>
      </w:tr>
      <w:tr w:rsidR="0001661B" w14:paraId="5836E955" w14:textId="77777777">
        <w:trPr>
          <w:cantSplit/>
          <w:jc w:val="center"/>
        </w:trPr>
        <w:tc>
          <w:tcPr>
            <w:tcW w:w="821" w:type="dxa"/>
            <w:tcMar>
              <w:top w:w="75" w:type="dxa"/>
              <w:left w:w="90" w:type="dxa"/>
              <w:bottom w:w="75" w:type="dxa"/>
              <w:right w:w="90" w:type="dxa"/>
            </w:tcMar>
            <w:vAlign w:val="center"/>
          </w:tcPr>
          <w:p w14:paraId="7FA36774" w14:textId="77777777" w:rsidR="0001661B" w:rsidRDefault="00000000">
            <w:pPr>
              <w:spacing w:after="0" w:line="240" w:lineRule="auto"/>
              <w:jc w:val="center"/>
            </w:pPr>
            <w:r>
              <w:rPr>
                <w:sz w:val="20"/>
              </w:rPr>
              <w:t>7</w:t>
            </w:r>
          </w:p>
        </w:tc>
        <w:tc>
          <w:tcPr>
            <w:tcW w:w="3816" w:type="dxa"/>
            <w:tcMar>
              <w:top w:w="75" w:type="dxa"/>
              <w:left w:w="90" w:type="dxa"/>
              <w:bottom w:w="75" w:type="dxa"/>
              <w:right w:w="90" w:type="dxa"/>
            </w:tcMar>
            <w:vAlign w:val="center"/>
          </w:tcPr>
          <w:p w14:paraId="3AC4C627" w14:textId="77777777" w:rsidR="0001661B" w:rsidRDefault="00000000">
            <w:pPr>
              <w:spacing w:after="0" w:line="240" w:lineRule="auto"/>
            </w:pPr>
            <w:r>
              <w:rPr>
                <w:sz w:val="20"/>
              </w:rPr>
              <w:t>Establish build lineage and function.</w:t>
            </w:r>
          </w:p>
        </w:tc>
        <w:tc>
          <w:tcPr>
            <w:tcW w:w="4910" w:type="dxa"/>
            <w:tcMar>
              <w:top w:w="75" w:type="dxa"/>
              <w:left w:w="90" w:type="dxa"/>
              <w:bottom w:w="75" w:type="dxa"/>
              <w:right w:w="90" w:type="dxa"/>
            </w:tcMar>
            <w:vAlign w:val="center"/>
          </w:tcPr>
          <w:p w14:paraId="29F28722" w14:textId="77777777" w:rsidR="0001661B" w:rsidRDefault="00000000">
            <w:pPr>
              <w:spacing w:after="0" w:line="240" w:lineRule="auto"/>
            </w:pPr>
            <w:r>
              <w:rPr>
                <w:sz w:val="20"/>
              </w:rPr>
              <w:t>Dated versions, cohort mapping, controller configuration and available verification records.</w:t>
            </w:r>
          </w:p>
        </w:tc>
      </w:tr>
      <w:tr w:rsidR="0001661B" w14:paraId="3F38C9EB" w14:textId="77777777">
        <w:trPr>
          <w:cantSplit/>
          <w:jc w:val="center"/>
        </w:trPr>
        <w:tc>
          <w:tcPr>
            <w:tcW w:w="821" w:type="dxa"/>
            <w:tcMar>
              <w:top w:w="75" w:type="dxa"/>
              <w:left w:w="90" w:type="dxa"/>
              <w:bottom w:w="75" w:type="dxa"/>
              <w:right w:w="90" w:type="dxa"/>
            </w:tcMar>
            <w:vAlign w:val="center"/>
          </w:tcPr>
          <w:p w14:paraId="4DA254BE" w14:textId="77777777" w:rsidR="0001661B" w:rsidRDefault="00000000">
            <w:pPr>
              <w:spacing w:after="0" w:line="240" w:lineRule="auto"/>
              <w:jc w:val="center"/>
            </w:pPr>
            <w:r>
              <w:rPr>
                <w:sz w:val="20"/>
              </w:rPr>
              <w:t>8</w:t>
            </w:r>
          </w:p>
        </w:tc>
        <w:tc>
          <w:tcPr>
            <w:tcW w:w="3816" w:type="dxa"/>
            <w:tcMar>
              <w:top w:w="75" w:type="dxa"/>
              <w:left w:w="90" w:type="dxa"/>
              <w:bottom w:w="75" w:type="dxa"/>
              <w:right w:w="90" w:type="dxa"/>
            </w:tcMar>
            <w:vAlign w:val="center"/>
          </w:tcPr>
          <w:p w14:paraId="6799E852" w14:textId="77777777" w:rsidR="0001661B" w:rsidRDefault="00000000">
            <w:pPr>
              <w:spacing w:after="0" w:line="240" w:lineRule="auto"/>
            </w:pPr>
            <w:r>
              <w:rPr>
                <w:sz w:val="20"/>
              </w:rPr>
              <w:t>Harmonise contribution language.</w:t>
            </w:r>
          </w:p>
        </w:tc>
        <w:tc>
          <w:tcPr>
            <w:tcW w:w="4910" w:type="dxa"/>
            <w:tcMar>
              <w:top w:w="75" w:type="dxa"/>
              <w:left w:w="90" w:type="dxa"/>
              <w:bottom w:w="75" w:type="dxa"/>
              <w:right w:w="90" w:type="dxa"/>
            </w:tcMar>
            <w:vAlign w:val="center"/>
          </w:tcPr>
          <w:p w14:paraId="16726FD4" w14:textId="77777777" w:rsidR="0001661B" w:rsidRDefault="00000000">
            <w:pPr>
              <w:spacing w:after="0" w:line="240" w:lineRule="auto"/>
            </w:pPr>
            <w:r>
              <w:rPr>
                <w:sz w:val="20"/>
              </w:rPr>
              <w:t>Corrected causal, exclusivity, commercial and clinical-equivalence assertions, including figures.</w:t>
            </w:r>
          </w:p>
        </w:tc>
      </w:tr>
      <w:tr w:rsidR="0001661B" w14:paraId="0B208352" w14:textId="77777777">
        <w:trPr>
          <w:cantSplit/>
          <w:jc w:val="center"/>
        </w:trPr>
        <w:tc>
          <w:tcPr>
            <w:tcW w:w="821" w:type="dxa"/>
            <w:tcMar>
              <w:top w:w="75" w:type="dxa"/>
              <w:left w:w="90" w:type="dxa"/>
              <w:bottom w:w="75" w:type="dxa"/>
              <w:right w:w="90" w:type="dxa"/>
            </w:tcMar>
            <w:vAlign w:val="center"/>
          </w:tcPr>
          <w:p w14:paraId="00A7152A" w14:textId="77777777" w:rsidR="0001661B" w:rsidRDefault="00000000">
            <w:pPr>
              <w:spacing w:after="0" w:line="240" w:lineRule="auto"/>
              <w:jc w:val="center"/>
            </w:pPr>
            <w:r>
              <w:rPr>
                <w:sz w:val="20"/>
              </w:rPr>
              <w:t>9</w:t>
            </w:r>
          </w:p>
        </w:tc>
        <w:tc>
          <w:tcPr>
            <w:tcW w:w="3816" w:type="dxa"/>
            <w:tcMar>
              <w:top w:w="75" w:type="dxa"/>
              <w:left w:w="90" w:type="dxa"/>
              <w:bottom w:w="75" w:type="dxa"/>
              <w:right w:w="90" w:type="dxa"/>
            </w:tcMar>
            <w:vAlign w:val="center"/>
          </w:tcPr>
          <w:p w14:paraId="24E3A91A" w14:textId="77777777" w:rsidR="0001661B" w:rsidRDefault="00000000">
            <w:pPr>
              <w:spacing w:after="0" w:line="240" w:lineRule="auto"/>
            </w:pPr>
            <w:r>
              <w:rPr>
                <w:sz w:val="20"/>
              </w:rPr>
              <w:t>Finalise scope and production.</w:t>
            </w:r>
          </w:p>
        </w:tc>
        <w:tc>
          <w:tcPr>
            <w:tcW w:w="4910" w:type="dxa"/>
            <w:tcMar>
              <w:top w:w="75" w:type="dxa"/>
              <w:left w:w="90" w:type="dxa"/>
              <w:bottom w:w="75" w:type="dxa"/>
              <w:right w:w="90" w:type="dxa"/>
            </w:tcMar>
            <w:vAlign w:val="center"/>
          </w:tcPr>
          <w:p w14:paraId="4CDB10CE" w14:textId="77777777" w:rsidR="0001661B" w:rsidRDefault="00000000">
            <w:pPr>
              <w:spacing w:after="0" w:line="240" w:lineRule="auto"/>
            </w:pPr>
            <w:r>
              <w:rPr>
                <w:sz w:val="20"/>
              </w:rPr>
              <w:t>A fixed study cut-off; no placeholders, unresolved attribution, stale lists or review comments.</w:t>
            </w:r>
          </w:p>
        </w:tc>
      </w:tr>
    </w:tbl>
    <w:p w14:paraId="795A9FCD" w14:textId="77777777" w:rsidR="0001661B" w:rsidRDefault="0001661B">
      <w:pPr>
        <w:spacing w:after="0"/>
      </w:pPr>
    </w:p>
    <w:p w14:paraId="24B17276" w14:textId="77777777" w:rsidR="0001661B" w:rsidRDefault="00000000">
      <w:r>
        <w:t>These revisions concern §§3.4–3.5, Chapters 4–6, §§7.4–7.9, §8.9 and Appendices A–H most directly. Chapter 9 should then be checked against the reconciled evidence, so that its conclusions follow from the final dataset and implementation record. Chapter 2 needs targeted harmonisation rather than wholesale rewriting. [1]</w:t>
      </w:r>
    </w:p>
    <w:p w14:paraId="4680DD6D" w14:textId="77777777" w:rsidR="0001661B" w:rsidRDefault="00000000">
      <w:pPr>
        <w:pStyle w:val="Heading2"/>
      </w:pPr>
      <w:r>
        <w:t>What need not be completed to defend the bounded contribution</w:t>
      </w:r>
    </w:p>
    <w:p w14:paraId="58BB8027" w14:textId="77777777" w:rsidR="0001661B" w:rsidRDefault="00000000">
      <w:r>
        <w:t>I would not automatically require a randomised trial, a validated FIAS diagnostic scale, a clinically effective complete framework, or completed cross-domain demonstrations to establish the narrower contribution described in §3 of this report. These studies become necessary if the candidate retains the corresponding causal, diagnostic, clinical or general effectiveness claims.</w:t>
      </w:r>
    </w:p>
    <w:p w14:paraId="2C30450A" w14:textId="77777777" w:rsidR="0001661B" w:rsidRDefault="00000000">
      <w:r>
        <w:t>Stage 3B is described as extending into October 2026, beyond this review date. It should either be presented consistently as an ongoing or prospective study outside the completed evidence base, or incorporated later with a complete protocol, results and revised analysis. Its unfinished cells should not remain in a submission presented as complete. Any claim of preregistration should be supported by a dated registration or protocol record. [1, §8.8, Table 3.1A, Table 9.1]</w:t>
      </w:r>
    </w:p>
    <w:p w14:paraId="52D5678C" w14:textId="77777777" w:rsidR="0001661B" w:rsidRDefault="00000000">
      <w:pPr>
        <w:pStyle w:val="Heading1"/>
        <w:pageBreakBefore/>
      </w:pPr>
      <w:r>
        <w:lastRenderedPageBreak/>
        <w:t>11 Questions for the oral examination</w:t>
      </w:r>
    </w:p>
    <w:p w14:paraId="5FF25AAC" w14:textId="77777777" w:rsidR="0001661B" w:rsidRDefault="00000000">
      <w:pPr>
        <w:ind w:left="288" w:hanging="288"/>
      </w:pPr>
      <w:r>
        <w:t xml:space="preserve">1. </w:t>
      </w:r>
      <w:r>
        <w:rPr>
          <w:b/>
        </w:rPr>
        <w:t>Originality.</w:t>
      </w:r>
      <w:r>
        <w:t xml:space="preserve"> What original engineering knowledge remains if the proposed identity mechanism is wrong? Identify the specific observation-to-design decisions that would still be useful to another engineer.</w:t>
      </w:r>
    </w:p>
    <w:p w14:paraId="6F8D5924" w14:textId="77777777" w:rsidR="0001661B" w:rsidRDefault="00000000">
      <w:pPr>
        <w:ind w:left="288" w:hanging="288"/>
      </w:pPr>
      <w:r>
        <w:t xml:space="preserve">2. </w:t>
      </w:r>
      <w:r>
        <w:rPr>
          <w:b/>
        </w:rPr>
        <w:t>Ethics chronology.</w:t>
      </w:r>
      <w:r>
        <w:t xml:space="preserve"> What exactly did the August 2026 decision authorise, and what documentary basis permits the use of records from Stage-2 participants who did not sign research consent?</w:t>
      </w:r>
    </w:p>
    <w:p w14:paraId="1CA1A00F" w14:textId="77777777" w:rsidR="0001661B" w:rsidRDefault="00000000">
      <w:pPr>
        <w:ind w:left="288" w:hanging="288"/>
      </w:pPr>
      <w:r>
        <w:t xml:space="preserve">3. </w:t>
      </w:r>
      <w:r>
        <w:rPr>
          <w:b/>
        </w:rPr>
        <w:t>Response provenance.</w:t>
      </w:r>
      <w:r>
        <w:t xml:space="preserve"> For one low-engagement participant, how did a therapist conversation become a satisfaction or symptom value in the dataset? How was attribution checked, and what uncertainty remains?</w:t>
      </w:r>
    </w:p>
    <w:p w14:paraId="7F861B2A" w14:textId="77777777" w:rsidR="0001661B" w:rsidRDefault="00000000">
      <w:pPr>
        <w:ind w:left="288" w:hanging="288"/>
      </w:pPr>
      <w:r>
        <w:t xml:space="preserve">4. </w:t>
      </w:r>
      <w:r>
        <w:rPr>
          <w:b/>
        </w:rPr>
        <w:t>Failure and non-return.</w:t>
      </w:r>
      <w:r>
        <w:t xml:space="preserve"> What constituted a failure, a cycle, a session and an opportunity to return in each stage? Which of those events were recorded contemporaneously?</w:t>
      </w:r>
    </w:p>
    <w:p w14:paraId="56CD118B" w14:textId="77777777" w:rsidR="0001661B" w:rsidRDefault="00000000">
      <w:pPr>
        <w:ind w:left="288" w:hanging="288"/>
      </w:pPr>
      <w:r>
        <w:t xml:space="preserve">5. </w:t>
      </w:r>
      <w:r>
        <w:rPr>
          <w:b/>
        </w:rPr>
        <w:t>Measurement.</w:t>
      </w:r>
      <w:r>
        <w:t xml:space="preserve"> What exact FRA index changed, and why should a standard-mode baseline be compared with a game-mode final value? What conclusion survives if the task-context difference explains the change?</w:t>
      </w:r>
    </w:p>
    <w:p w14:paraId="1426E1EF" w14:textId="77777777" w:rsidR="0001661B" w:rsidRDefault="00000000">
      <w:pPr>
        <w:ind w:left="288" w:hanging="288"/>
      </w:pPr>
      <w:r>
        <w:t xml:space="preserve">6. </w:t>
      </w:r>
      <w:r>
        <w:rPr>
          <w:b/>
        </w:rPr>
        <w:t>Clinical framing.</w:t>
      </w:r>
      <w:r>
        <w:t xml:space="preserve"> What did Stage-2 participants believe the station was doing, what did they see, and what did staff disclose? How is clinical coupling established at the participant level?</w:t>
      </w:r>
    </w:p>
    <w:p w14:paraId="32B63889" w14:textId="77777777" w:rsidR="0001661B" w:rsidRDefault="00000000">
      <w:pPr>
        <w:ind w:left="288" w:hanging="288"/>
      </w:pPr>
      <w:r>
        <w:t xml:space="preserve">7. </w:t>
      </w:r>
      <w:r>
        <w:rPr>
          <w:b/>
        </w:rPr>
        <w:t>The Stage-3 contrast.</w:t>
      </w:r>
      <w:r>
        <w:t xml:space="preserve"> How would you distinguish a framing effect from lower physical demand, remote access, social context or recruitment differences? What would the smallest informative comparison hold constant?</w:t>
      </w:r>
    </w:p>
    <w:p w14:paraId="13A3A7C7" w14:textId="77777777" w:rsidR="0001661B" w:rsidRDefault="00000000">
      <w:pPr>
        <w:ind w:left="288" w:hanging="288"/>
      </w:pPr>
      <w:r>
        <w:t xml:space="preserve">8. </w:t>
      </w:r>
      <w:r>
        <w:rPr>
          <w:b/>
        </w:rPr>
        <w:t>FIAS and existing explanations.</w:t>
      </w:r>
      <w:r>
        <w:t xml:space="preserve"> What observation would make you prefer ordinary discontinuance or rational consequence-avoidance over FIAS? How would incremental explanatory value be tested without building the outcome into the predictor?</w:t>
      </w:r>
    </w:p>
    <w:p w14:paraId="08684621" w14:textId="77777777" w:rsidR="0001661B" w:rsidRDefault="00000000">
      <w:pPr>
        <w:ind w:left="288" w:hanging="288"/>
      </w:pPr>
      <w:r>
        <w:t xml:space="preserve">9. </w:t>
      </w:r>
      <w:r>
        <w:rPr>
          <w:b/>
        </w:rPr>
        <w:t>The artefact.</w:t>
      </w:r>
      <w:r>
        <w:t xml:space="preserve"> Which adaptive decisions were actually made by rules or model calls in the deployed build? Demonstrate an available trace, including bounded behaviour when input or model output is unsuitable.</w:t>
      </w:r>
    </w:p>
    <w:p w14:paraId="23570262" w14:textId="77777777" w:rsidR="0001661B" w:rsidRDefault="00000000">
      <w:pPr>
        <w:ind w:left="288" w:hanging="288"/>
      </w:pPr>
      <w:r>
        <w:t xml:space="preserve">10. </w:t>
      </w:r>
      <w:r>
        <w:rPr>
          <w:b/>
        </w:rPr>
        <w:t>Improvement.</w:t>
      </w:r>
      <w:r>
        <w:t xml:space="preserve"> How would the system distinguish easier play from learning, and how would an engineer know that a design revision improved the service while respecting a participant's choice to stop?</w:t>
      </w:r>
    </w:p>
    <w:p w14:paraId="5C032B63" w14:textId="77777777" w:rsidR="0001661B" w:rsidRDefault="00000000">
      <w:pPr>
        <w:pStyle w:val="Heading1"/>
      </w:pPr>
      <w:r>
        <w:t>12 Conditions for a more favourable recommendation</w:t>
      </w:r>
    </w:p>
    <w:p w14:paraId="00A4613E" w14:textId="77777777" w:rsidR="0001661B" w:rsidRDefault="00000000">
      <w:r>
        <w:t>There is a credible intellectual basis for an EngD defence, but I would seek resolution of the foundational documentation before giving an unqualified recommendation that this version is ready for examination. If the institutional determination supports the stated data use, primary records reconstruct the central results, and implementation claims can be reconciled, the remaining work could become a finite set of substantive and editorial corrections.</w:t>
      </w:r>
    </w:p>
    <w:p w14:paraId="3D3326B2" w14:textId="77777777" w:rsidR="0001661B" w:rsidRDefault="00000000">
      <w:r>
        <w:t>If those records materially alter participant inclusion, the principal statistics or the description of what was deployed, the thesis would require reanalysis and a renewed contribution assessment. No reliable pass probability or formal award outcome can be assigned from the manuscript alone.</w:t>
      </w:r>
    </w:p>
    <w:p w14:paraId="6E6043B8" w14:textId="77777777" w:rsidR="0001661B" w:rsidRDefault="00000000">
      <w:r>
        <w:rPr>
          <w:b/>
        </w:rPr>
        <w:t>The updated judgement is therefore more positive about the scholarly argument, while retaining substantial revision as the present recommendation.</w:t>
      </w:r>
      <w:r>
        <w:t xml:space="preserve"> The strongest route to completion is to make the evidence auditable and bring every claim into line with the carefully bounded contribution already articulated in the revised abstract and conclusion. [1, Abstract, §9.12]</w:t>
      </w:r>
    </w:p>
    <w:p w14:paraId="7E12D2F7" w14:textId="77777777" w:rsidR="0001661B" w:rsidRDefault="00000000">
      <w:pPr>
        <w:pStyle w:val="Heading1"/>
        <w:pageBreakBefore/>
      </w:pPr>
      <w:r>
        <w:lastRenderedPageBreak/>
        <w:t>References</w:t>
      </w:r>
    </w:p>
    <w:p w14:paraId="333447F1" w14:textId="77777777" w:rsidR="0001661B" w:rsidRDefault="00000000">
      <w:pPr>
        <w:spacing w:line="240" w:lineRule="auto"/>
      </w:pPr>
      <w:r>
        <w:rPr>
          <w:sz w:val="20"/>
        </w:rPr>
        <w:t>1. Tam, S. K. T. (2026). Gamification as Proactive Approach for Continuous Improvement and Innovation Enhancement. Engineering Doctorate thesis, Version 40, supplied manuscript, The Hong Kong Polytechnic University. File: Full_version_V40_EngD_Thesis_Submission_Draft_14092026 version.docx. Unpublished; cover dated October 2026; reviewed 14 September 2026.</w:t>
      </w:r>
    </w:p>
    <w:p w14:paraId="77B8A5EA" w14:textId="77777777" w:rsidR="0001661B" w:rsidRDefault="00000000">
      <w:pPr>
        <w:spacing w:line="240" w:lineRule="auto"/>
      </w:pPr>
      <w:r>
        <w:rPr>
          <w:sz w:val="20"/>
        </w:rPr>
        <w:t>2. Tam, S. K. T. (2026). Gamification as Proactive Approach for Continuous Improvement and Innovation Enhancement. Engineering Doctorate thesis, Version 38, local project reference. File: Full_version_V38_EngD_Thesis_Submission_Draft.docx. Unpublished.</w:t>
      </w:r>
    </w:p>
    <w:p w14:paraId="01C1F926" w14:textId="77777777" w:rsidR="0001661B" w:rsidRDefault="00000000">
      <w:pPr>
        <w:spacing w:line="240" w:lineRule="auto"/>
      </w:pPr>
      <w:r>
        <w:rPr>
          <w:sz w:val="20"/>
        </w:rPr>
        <w:t>3. External-examiner-style reassessment: V38 compared with V37. (2026, September 6). Prior independent project review, six pages. File: EngD_V38_External_Examiner_Reassessment_Sidney_Tam.pdf. Consulted as review history, not as an official PolyU decision.</w:t>
      </w:r>
    </w:p>
    <w:p w14:paraId="097FD2F1" w14:textId="77777777" w:rsidR="0001661B" w:rsidRDefault="00000000">
      <w:pPr>
        <w:spacing w:line="240" w:lineRule="auto"/>
      </w:pPr>
      <w:r>
        <w:rPr>
          <w:sz w:val="20"/>
        </w:rPr>
        <w:t xml:space="preserve">4. The Hong Kong Polytechnic University. (2026). Engineering Doctorate, programme 05001-FD-PD, September 2026 entry. </w:t>
      </w:r>
      <w:hyperlink r:id="rId8">
        <w:r>
          <w:rPr>
            <w:color w:val="174D70"/>
          </w:rPr>
          <w:t>Official programme aims and curriculum</w:t>
        </w:r>
      </w:hyperlink>
      <w:r>
        <w:rPr>
          <w:sz w:val="20"/>
        </w:rPr>
        <w:t>. Accessed 14 September 2026.</w:t>
      </w:r>
    </w:p>
    <w:p w14:paraId="07CC1A82" w14:textId="77777777" w:rsidR="0001661B" w:rsidRDefault="00000000">
      <w:pPr>
        <w:spacing w:line="240" w:lineRule="auto"/>
      </w:pPr>
      <w:r>
        <w:rPr>
          <w:sz w:val="20"/>
        </w:rPr>
        <w:t xml:space="preserve">5. The Hong Kong Polytechnic University, Institutional Review Board. (n.d.). Guidelines. </w:t>
      </w:r>
      <w:hyperlink r:id="rId9">
        <w:r>
          <w:rPr>
            <w:color w:val="174D70"/>
          </w:rPr>
          <w:t>Human subjects ethics requirements</w:t>
        </w:r>
      </w:hyperlink>
      <w:r>
        <w:rPr>
          <w:sz w:val="20"/>
        </w:rPr>
        <w:t>. Accessed 14 September 2026.</w:t>
      </w:r>
    </w:p>
    <w:p w14:paraId="3C21A51D" w14:textId="77777777" w:rsidR="0001661B" w:rsidRDefault="00000000">
      <w:pPr>
        <w:spacing w:line="240" w:lineRule="auto"/>
      </w:pPr>
      <w:r>
        <w:rPr>
          <w:sz w:val="20"/>
        </w:rPr>
        <w:t xml:space="preserve">6. The Hong Kong Polytechnic University, Institutional Review Board. (n.d.). FAQs for human subjects ethics clearance. </w:t>
      </w:r>
      <w:hyperlink r:id="rId10">
        <w:r>
          <w:rPr>
            <w:color w:val="174D70"/>
          </w:rPr>
          <w:t>Archived data and overseas research guidance</w:t>
        </w:r>
      </w:hyperlink>
      <w:r>
        <w:rPr>
          <w:sz w:val="20"/>
        </w:rPr>
        <w:t>. Accessed 14 September 2026.</w:t>
      </w:r>
    </w:p>
    <w:p w14:paraId="71C82772" w14:textId="77777777" w:rsidR="0001661B" w:rsidRDefault="00000000">
      <w:pPr>
        <w:spacing w:line="240" w:lineRule="auto"/>
      </w:pPr>
      <w:r>
        <w:rPr>
          <w:sz w:val="20"/>
        </w:rPr>
        <w:t xml:space="preserve">7. Kim, M., Kim, S., &amp; Won, C. W. (2018). Test–retest reliability and sensitivity to change of a new fall risk assessment system: A pilot study. Annals of Geriatric Medicine and Research, 22(2), 80–87. </w:t>
      </w:r>
      <w:hyperlink r:id="rId11">
        <w:r>
          <w:rPr>
            <w:color w:val="174D70"/>
          </w:rPr>
          <w:t>https://doi.org/10.4235/agmr.2018.22.2.80</w:t>
        </w:r>
      </w:hyperlink>
      <w:r>
        <w:rPr>
          <w:sz w:val="20"/>
        </w:rPr>
        <w:t>.</w:t>
      </w:r>
    </w:p>
    <w:p w14:paraId="269E3887" w14:textId="77777777" w:rsidR="0001661B" w:rsidRDefault="00000000">
      <w:pPr>
        <w:spacing w:line="240" w:lineRule="auto"/>
      </w:pPr>
      <w:r>
        <w:rPr>
          <w:sz w:val="20"/>
        </w:rPr>
        <w:t xml:space="preserve">8. Soderstrom, N. C., &amp; Bjork, R. A. (2015). Learning versus performance: An integrative review. Perspectives on Psychological Science, 10(2), 176–199. </w:t>
      </w:r>
      <w:hyperlink r:id="rId12">
        <w:r>
          <w:rPr>
            <w:color w:val="174D70"/>
          </w:rPr>
          <w:t>https://doi.org/10.1177/1745691615569000</w:t>
        </w:r>
      </w:hyperlink>
      <w:r>
        <w:rPr>
          <w:sz w:val="20"/>
        </w:rPr>
        <w:t>.</w:t>
      </w:r>
    </w:p>
    <w:p w14:paraId="1EEB4D1D" w14:textId="77777777" w:rsidR="0001661B" w:rsidRDefault="00000000">
      <w:pPr>
        <w:spacing w:line="240" w:lineRule="auto"/>
      </w:pPr>
      <w:r>
        <w:rPr>
          <w:sz w:val="20"/>
        </w:rPr>
        <w:t xml:space="preserve">9. An, S., Cheung, C. F., &amp; Willoughby, K. W. (2024). A gamification approach for enhancing older adults' technology adoption and knowledge transfer: A case study in mobile payments technology. Technological Forecasting and Social Change, 205, 123456. </w:t>
      </w:r>
      <w:hyperlink r:id="rId13">
        <w:r>
          <w:rPr>
            <w:color w:val="174D70"/>
          </w:rPr>
          <w:t>https://doi.org/10.1016/j.techfore.2024.123456</w:t>
        </w:r>
      </w:hyperlink>
      <w:r>
        <w:rPr>
          <w:sz w:val="20"/>
        </w:rPr>
        <w:t>.</w:t>
      </w:r>
    </w:p>
    <w:p w14:paraId="43FA229C" w14:textId="77777777" w:rsidR="0001661B" w:rsidRDefault="00000000">
      <w:pPr>
        <w:spacing w:line="240" w:lineRule="auto"/>
      </w:pPr>
      <w:r>
        <w:rPr>
          <w:sz w:val="20"/>
        </w:rPr>
        <w:t xml:space="preserve">10. GrandPad. (n.d.). GrandPad Enterprise Edition. </w:t>
      </w:r>
      <w:hyperlink r:id="rId14">
        <w:r>
          <w:rPr>
            <w:color w:val="174D70"/>
          </w:rPr>
          <w:t>Connected devices and clinical data features</w:t>
        </w:r>
      </w:hyperlink>
      <w:r>
        <w:rPr>
          <w:sz w:val="20"/>
        </w:rPr>
        <w:t>. Vendor description; accessed 14 September 2026.</w:t>
      </w:r>
    </w:p>
    <w:p w14:paraId="6E0E82AD" w14:textId="77777777" w:rsidR="0001661B" w:rsidRDefault="00000000">
      <w:pPr>
        <w:spacing w:line="240" w:lineRule="auto"/>
      </w:pPr>
      <w:r>
        <w:rPr>
          <w:sz w:val="20"/>
        </w:rPr>
        <w:t xml:space="preserve">11. GrandPad. (2021). Success Story: Element Care. </w:t>
      </w:r>
      <w:hyperlink r:id="rId15">
        <w:r>
          <w:rPr>
            <w:color w:val="174D70"/>
          </w:rPr>
          <w:t>Telehealth and remote monitoring case</w:t>
        </w:r>
      </w:hyperlink>
      <w:r>
        <w:rPr>
          <w:sz w:val="20"/>
        </w:rPr>
        <w:t>. Vendor case material; accessed 14 September 2026. Used to identify functions, not to establish comparative effectiveness.</w:t>
      </w:r>
    </w:p>
    <w:p w14:paraId="3DB8160B" w14:textId="77777777" w:rsidR="0001661B" w:rsidRDefault="00000000">
      <w:pPr>
        <w:spacing w:line="240" w:lineRule="auto"/>
      </w:pPr>
      <w:r>
        <w:rPr>
          <w:sz w:val="20"/>
        </w:rPr>
        <w:t xml:space="preserve">12. Eysenbach, G. (2005). The law of attrition. Journal of Medical Internet Research, 7(1), e11. </w:t>
      </w:r>
      <w:hyperlink r:id="rId16">
        <w:r>
          <w:rPr>
            <w:color w:val="174D70"/>
          </w:rPr>
          <w:t>https://doi.org/10.2196/jmir.7.1.e11</w:t>
        </w:r>
      </w:hyperlink>
      <w:r>
        <w:rPr>
          <w:sz w:val="20"/>
        </w:rPr>
        <w:t>.</w:t>
      </w:r>
    </w:p>
    <w:p w14:paraId="5A326CC0" w14:textId="77777777" w:rsidR="0001661B" w:rsidRDefault="00000000">
      <w:pPr>
        <w:spacing w:line="240" w:lineRule="auto"/>
      </w:pPr>
      <w:r>
        <w:rPr>
          <w:sz w:val="20"/>
        </w:rPr>
        <w:t xml:space="preserve">13. Bhattacherjee, A. (2001). Understanding information systems continuance: An expectation-confirmation model. MIS Quarterly, 25(3), 351–370. </w:t>
      </w:r>
      <w:hyperlink r:id="rId17">
        <w:r>
          <w:rPr>
            <w:color w:val="174D70"/>
          </w:rPr>
          <w:t>https://doi.org/10.2307/3250921</w:t>
        </w:r>
      </w:hyperlink>
      <w:r>
        <w:rPr>
          <w:sz w:val="20"/>
        </w:rPr>
        <w:t>.</w:t>
      </w:r>
    </w:p>
    <w:p w14:paraId="5B82E9E6" w14:textId="77777777" w:rsidR="0001661B" w:rsidRDefault="00000000">
      <w:pPr>
        <w:spacing w:line="240" w:lineRule="auto"/>
      </w:pPr>
      <w:r>
        <w:rPr>
          <w:sz w:val="20"/>
        </w:rPr>
        <w:t xml:space="preserve">14. OECD/Eurostat. (2018). Oslo Manual 2018: Guidelines for Collecting, Reporting and Using Data on Innovation (4th ed.). OECD Publishing. </w:t>
      </w:r>
      <w:hyperlink r:id="rId18">
        <w:r>
          <w:rPr>
            <w:color w:val="174D70"/>
          </w:rPr>
          <w:t>https://doi.org/10.1787/9789264304604-en</w:t>
        </w:r>
      </w:hyperlink>
      <w:r>
        <w:rPr>
          <w:sz w:val="20"/>
        </w:rPr>
        <w:t>.</w:t>
      </w:r>
    </w:p>
    <w:p w14:paraId="485408D3" w14:textId="77777777" w:rsidR="0001661B" w:rsidRDefault="00000000">
      <w:pPr>
        <w:spacing w:line="240" w:lineRule="auto"/>
      </w:pPr>
      <w:r>
        <w:rPr>
          <w:sz w:val="20"/>
        </w:rPr>
        <w:t xml:space="preserve">15. National Bureau of Statistics of China. (2025, January 17). National Economy Witnessed Steady Progress amidst Stability with Major Development Targets Achieved Successfully in 2024. </w:t>
      </w:r>
      <w:hyperlink r:id="rId19">
        <w:r>
          <w:rPr>
            <w:color w:val="174D70"/>
          </w:rPr>
          <w:t>Official population and economic statistics</w:t>
        </w:r>
      </w:hyperlink>
      <w:r>
        <w:rPr>
          <w:sz w:val="20"/>
        </w:rPr>
        <w:t>.</w:t>
      </w:r>
    </w:p>
    <w:sectPr w:rsidR="0001661B" w:rsidSect="00034616">
      <w:headerReference w:type="default" r:id="rId20"/>
      <w:footerReference w:type="default" r:id="rId21"/>
      <w:pgSz w:w="11909" w:h="16834"/>
      <w:pgMar w:top="1037" w:right="1181" w:bottom="979"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00B7A4" w14:textId="77777777" w:rsidR="00400A88" w:rsidRDefault="00400A88">
      <w:pPr>
        <w:spacing w:after="0" w:line="240" w:lineRule="auto"/>
      </w:pPr>
      <w:r>
        <w:separator/>
      </w:r>
    </w:p>
  </w:endnote>
  <w:endnote w:type="continuationSeparator" w:id="0">
    <w:p w14:paraId="676A7386" w14:textId="77777777" w:rsidR="00400A88" w:rsidRDefault="0040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B0D07" w14:textId="77777777" w:rsidR="0001661B" w:rsidRDefault="00000000">
    <w:pPr>
      <w:pStyle w:val="Footer"/>
      <w:jc w:val="right"/>
    </w:pPr>
    <w:r>
      <w:rPr>
        <w:sz w:val="16"/>
      </w:rPr>
      <w:t xml:space="preserve">14 September </w:t>
    </w:r>
    <w:proofErr w:type="gramStart"/>
    <w:r>
      <w:rPr>
        <w:sz w:val="16"/>
      </w:rPr>
      <w:t>2026  |</w:t>
    </w:r>
    <w:proofErr w:type="gramEnd"/>
    <w:r>
      <w:rPr>
        <w:sz w:val="16"/>
      </w:rPr>
      <w:t xml:space="preserve">  </w:t>
    </w:r>
    <w:r>
      <w:fldChar w:fldCharType="begin"/>
    </w:r>
    <w:r>
      <w:instrText>PAGE</w:instrText>
    </w:r>
    <w:r>
      <w:fldChar w:fldCharType="separate"/>
    </w:r>
    <w:r w:rsidR="003E0A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9A7F5B" w14:textId="77777777" w:rsidR="00400A88" w:rsidRDefault="00400A88">
      <w:pPr>
        <w:spacing w:after="0" w:line="240" w:lineRule="auto"/>
      </w:pPr>
      <w:r>
        <w:separator/>
      </w:r>
    </w:p>
  </w:footnote>
  <w:footnote w:type="continuationSeparator" w:id="0">
    <w:p w14:paraId="7E162E6C" w14:textId="77777777" w:rsidR="00400A88" w:rsidRDefault="0040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4C0C5" w14:textId="77777777" w:rsidR="0001661B" w:rsidRDefault="00000000">
    <w:pPr>
      <w:spacing w:after="0"/>
    </w:pPr>
    <w:r>
      <w:rPr>
        <w:color w:val="555555"/>
        <w:sz w:val="16"/>
      </w:rPr>
      <w:t xml:space="preserve">Sidney K. T. </w:t>
    </w:r>
    <w:proofErr w:type="gramStart"/>
    <w:r>
      <w:rPr>
        <w:color w:val="555555"/>
        <w:sz w:val="16"/>
      </w:rPr>
      <w:t>Tam  |</w:t>
    </w:r>
    <w:proofErr w:type="gramEnd"/>
    <w:r>
      <w:rPr>
        <w:color w:val="555555"/>
        <w:sz w:val="16"/>
      </w:rPr>
      <w:t xml:space="preserve">  EngD thesis V</w:t>
    </w:r>
    <w:proofErr w:type="gramStart"/>
    <w:r>
      <w:rPr>
        <w:color w:val="555555"/>
        <w:sz w:val="16"/>
      </w:rPr>
      <w:t>40  |</w:t>
    </w:r>
    <w:proofErr w:type="gramEnd"/>
    <w:r>
      <w:rPr>
        <w:color w:val="555555"/>
        <w:sz w:val="16"/>
      </w:rPr>
      <w:t xml:space="preserve">  Independent examination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84165">
    <w:abstractNumId w:val="8"/>
  </w:num>
  <w:num w:numId="2" w16cid:durableId="727463540">
    <w:abstractNumId w:val="6"/>
  </w:num>
  <w:num w:numId="3" w16cid:durableId="720515069">
    <w:abstractNumId w:val="5"/>
  </w:num>
  <w:num w:numId="4" w16cid:durableId="1464620913">
    <w:abstractNumId w:val="4"/>
  </w:num>
  <w:num w:numId="5" w16cid:durableId="59519606">
    <w:abstractNumId w:val="7"/>
  </w:num>
  <w:num w:numId="6" w16cid:durableId="1696298982">
    <w:abstractNumId w:val="3"/>
  </w:num>
  <w:num w:numId="7" w16cid:durableId="260797522">
    <w:abstractNumId w:val="2"/>
  </w:num>
  <w:num w:numId="8" w16cid:durableId="972439992">
    <w:abstractNumId w:val="1"/>
  </w:num>
  <w:num w:numId="9" w16cid:durableId="12510433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61B"/>
    <w:rsid w:val="00034616"/>
    <w:rsid w:val="0006063C"/>
    <w:rsid w:val="0015074B"/>
    <w:rsid w:val="0029639D"/>
    <w:rsid w:val="00326F90"/>
    <w:rsid w:val="003336E4"/>
    <w:rsid w:val="003E0A56"/>
    <w:rsid w:val="00400A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DB36A"/>
  <w14:defaultImageDpi w14:val="300"/>
  <w15:docId w15:val="{C1CB7306-B991-7047-9538-2E094FF8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yu.edu.hk/study/pg/tpg/2026/05001-fd-pd" TargetMode="External"/><Relationship Id="rId13" Type="http://schemas.openxmlformats.org/officeDocument/2006/relationships/hyperlink" Target="https://doi.org/10.1016/j.techfore.2024.123456" TargetMode="External"/><Relationship Id="rId18" Type="http://schemas.openxmlformats.org/officeDocument/2006/relationships/hyperlink" Target="https://doi.org/10.1787/9789264304604-e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77/1745691615569000" TargetMode="External"/><Relationship Id="rId17" Type="http://schemas.openxmlformats.org/officeDocument/2006/relationships/hyperlink" Target="https://doi.org/10.2307/3250921" TargetMode="External"/><Relationship Id="rId2" Type="http://schemas.openxmlformats.org/officeDocument/2006/relationships/numbering" Target="numbering.xml"/><Relationship Id="rId16" Type="http://schemas.openxmlformats.org/officeDocument/2006/relationships/hyperlink" Target="https://doi.org/10.2196/jmir.7.1.e1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235/agmr.2018.22.2.80" TargetMode="External"/><Relationship Id="rId5" Type="http://schemas.openxmlformats.org/officeDocument/2006/relationships/webSettings" Target="webSettings.xml"/><Relationship Id="rId15" Type="http://schemas.openxmlformats.org/officeDocument/2006/relationships/hyperlink" Target="https://www.grandpad.biz/case-studies/element-care.pdf" TargetMode="External"/><Relationship Id="rId23" Type="http://schemas.openxmlformats.org/officeDocument/2006/relationships/theme" Target="theme/theme1.xml"/><Relationship Id="rId10" Type="http://schemas.openxmlformats.org/officeDocument/2006/relationships/hyperlink" Target="https://www.polyu.edu.hk/irb/faqs-for-human-subjects-ethics-clearance/" TargetMode="External"/><Relationship Id="rId19" Type="http://schemas.openxmlformats.org/officeDocument/2006/relationships/hyperlink" Target="https://www.stats.gov.cn/english/PressRelease/202501/t20250117_1958330.html" TargetMode="External"/><Relationship Id="rId4" Type="http://schemas.openxmlformats.org/officeDocument/2006/relationships/settings" Target="settings.xml"/><Relationship Id="rId9" Type="http://schemas.openxmlformats.org/officeDocument/2006/relationships/hyperlink" Target="https://www.polyu.edu.hk/irb/guidelines/?sc_lang=en" TargetMode="External"/><Relationship Id="rId14" Type="http://schemas.openxmlformats.org/officeDocument/2006/relationships/hyperlink" Target="https://legacy.grandpad.bi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5566</Words>
  <Characters>31729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examination report on the EngD thesis Version 40</dc:title>
  <dc:subject>Independent assessment of Sidney K. T. Tam thesis dated 14 September 2026</dc:subject>
  <dc:creator>Codex</dc:creator>
  <cp:keywords>EngD; HK PolyU; thesis examination; V40; independent assessment</cp:keywords>
  <dc:description>generated by python-docx</dc:description>
  <cp:lastModifiedBy>TAM, Sidney [Student]</cp:lastModifiedBy>
  <cp:revision>2</cp:revision>
  <dcterms:created xsi:type="dcterms:W3CDTF">2026-09-14T07:17:00Z</dcterms:created>
  <dcterms:modified xsi:type="dcterms:W3CDTF">2026-09-14T07:17:00Z</dcterms:modified>
  <cp:category/>
</cp:coreProperties>
</file>