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Editors, JMIR Serious Games</w:t>
      </w:r>
    </w:p>
    <w:p>
      <w:pPr>
        <w:spacing w:after="240"/>
      </w:pPr>
    </w:p>
    <w:p>
      <w:pPr>
        <w:spacing w:after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Re: Manuscript #111728 — request for withdrawal, signed by all authors</w:t>
      </w:r>
    </w:p>
    <w:p>
      <w:pPr>
        <w:spacing w:after="20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Dear Editors,</w:t>
      </w:r>
    </w:p>
    <w:p>
      <w:pPr>
        <w:spacing w:after="20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sincerely apologise for the error described in this letter, and I respectfully request the withdrawal of manuscript #111728, “Gamification as a Proactive Approach: A Study of Elderly Failure-Induced Abandonment in Gamified Fall Risk Assessment.” A withdrawal request was posted through the Communication Log shortly after submission, before initial editorial checks were complete; this letter, signed by both authors, confirms it.</w:t>
      </w:r>
    </w:p>
    <w:p>
      <w:pPr>
        <w:spacing w:after="20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My second apology is for the mistake itself: the manuscript was already under consideration at another publisher’s journal when I submitted it to JMIR Serious Games, so the declaration that it was not under consideration elsewhere was not accurate. I made the submission without my co-author’s consent and — this being my first journal submission — in oversight of the rule that a manuscript may be under consideration at only one journal at a time. On learning of the submission, my co-author required its immediate withdrawal; this signed letter gives effect to that, before any editorial review. The manuscript remains under consideration at one journal only.</w:t>
      </w:r>
    </w:p>
    <w:p>
      <w:pPr>
        <w:spacing w:after="20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mistake is mine alone. I now fully understand the ethical constraint against duplicate submission and will not make a similar mistake again. I humbly ask for the editorial team’s understanding, apologise for the editorial time my error consumed, and would be grateful for your confirmation once the withdrawal is effective.</w:t>
      </w:r>
    </w:p>
    <w:p>
      <w:pPr>
        <w:spacing w:after="20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Yours faithfully,</w:t>
      </w:r>
    </w:p>
    <w:p>
      <w:pPr>
        <w:spacing w:after="400"/>
      </w:pPr>
    </w:p>
    <w:tbl>
      <w:tblPr>
        <w:tblW w:type="dxa" w:w="96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00"/>
        <w:gridCol w:w="4800"/>
      </w:tblGrid>
      <w:tr>
        <w:tc>
          <w:tcPr>
            <w:tcW w:type="dxa" w:w="48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_________________________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Sidney K. T. Tam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Corresponding author</w:t>
            </w:r>
          </w:p>
        </w:tc>
        <w:tc>
          <w:tcPr>
            <w:tcW w:type="dxa" w:w="48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_________________________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Cheung Chi Fai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Co-author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2026-09-12T09:39:01.914Z</dcterms:created>
  <dcterms:modified xsi:type="dcterms:W3CDTF">2026-09-12T09:39:01.929Z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