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(returned dropouts counted as retained), with 15 of 23 initial dropouts returning voluntarily.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Claim</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Operational)</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The deployed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Observed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evidence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investigates how adaptive interaction design can reduce disengagement while preserving clinical validity.</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can close any gap between what participants endorse and what they sustain; that question is examined from Chapter 6 onward. Its incremental effectiveness is a subject for the next controlled cycle.</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while Whether the implemented design realised that expectation is examined prospectively in Chapter 5, including cases with favourable recorded score change. The initial expectation was therefore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prospective component test (§8.8)</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and §8.8 outlines its prospective evaluation.</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demonstrated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prospective test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prospective test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prospective evaluation protocol</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Complete framework not yet evaluated; specified components reserved for prospective testing</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2x2 field experiment (ongoing; results not part of the thesis evidence)</w:t>
            </w:r>
          </w:p>
        </w:tc>
        <w:tc>
          <w:tcPr>
            <w:tcW w:type="dxa" w:w="2584"/>
          </w:tcPr>
          <w:p>
            <w:r>
              <w:rPr/>
              <w:t>August–October 2026 (window open; collection commenced August 2026)</w:t>
            </w:r>
          </w:p>
        </w:tc>
        <w:tc>
          <w:tcPr>
            <w:tcW w:type="dxa" w:w="1994"/>
          </w:tcPr>
          <w:p>
            <w:r>
              <w:t>§8.8</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 a period that covers all of the programme's fieldwork, including the Stage 3B window (August–October 2026; §8.8); the approval memo is archived in the ethics record);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procedures as conducted and described in this section.</w:t>
      </w:r>
    </w:p>
    <w:p>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satisfaction and symptom entries in the Stage-2 dataset was therefore performed by the researcher when compiling the field notes.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satisfaction and symptom variables are accordingly therapist-mediated, researcher-compiled observational data, gathered under the facility's routine care relationship and the gatekeeper arrangement described above - not responses to a self-administered research instrument - and §5.5 carries the corresponding measurement caution.</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 pre-specified next study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specified in §8.8.</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component study in §8.8 can test its specified adaptation and feedback components, while the complete framework and the causal framing account require their own evaluations. No hypothesis in the completed Stages 1–3 was publicly preregistered;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prescription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pre-registered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 xml:space="preserve">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satisfaction-engagement association reported below (Fisher's exact p = 0.013) is read as an observed association in compiled field data, not as an instrumented self-report result; the confirmatory study replaces this pathway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Self-reported symptom improvement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reported any improvement and none returned — the separate margins underlying the recorded-score–engagement discrepancy, subject to the direction caveat above. These margins do not identify how many participants simultaneously recorded a score increase and reported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and that visible thinning of the group contributed to further abandonment.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effect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the sustained side of the visible-participation channel taken up in §8.6B. Four of the nine criticised the game's visuals as weak or childish even while rating the experience highly, an echo of the infantilisation risk raised in the expert consultations; and one record contains an internal contradiction (usefulness disclaimed in one item, endorsed in another), retained as recorded.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the five-session sequence was completed — an incomplete first session, or no continuation beyond it; the deposited aggregate register labels this outcome 'dropped out before completing 5 attempts'.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Observed return after initial dropout by age band in Stage 3, including 62.5% in the 65–80 band.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Their reliability, tolerability and sensitivity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consumer-style deployments: predominantly homebound populations, leisure and connection functions, a family-and-support supervision scaffold, an explicitly non-assessment frame, and no assessment verdict presented to the user.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where no assessment verdict reaches the user;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present no assessment verdict to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because in the configurations documented the adverse reading is routed to remote caregivers rather than delivered to the user as a verdict (GrandPad, 2020).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configurations where no assessment verdict reaches the user;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is pending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an ongoing touch-input component study (§8.8) to a programme that has used standing whole-body input and remote seated hand input. Its adaptive-versus-static and zero-failure-versus-failure-possible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discriminating point: the field notes record players who acknowledged the system's benefits and were recording index gains, yet gave up after recurring in-game failures across their second and third cycles - a profile that boredom, limited-relevance and competing-priority accounts would not readily predict. That reading is an interpretation of retrospective field notes rather than a measured discrimination: it weighs against these ordinary-attrition explanations without excluding them, and they remain live rivals to be carried as comparators into the future study specified above.</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visible thinning contributed to further abandonment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confirmatory programme will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is the response to that limitation — retrospectively motivated by the Stage-3A result, prospectively specified before recruitment (the protocol and the pre-specified analysis hierarchy are repository-dated 8–9 August 2026). It is a 2×2 component experiment crossing adaptive against static presentation with zero-failure against failure-possible modes in a new, remotely recruited cohort.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Data collection commenced in August 2026; the deployed procedures and returned records are being checked against the Stage-3B protocol before final classification and analysis. Its results are not part of the evidence presented in this thesis. The design can test the specified component contrasts; any interaction claim requires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proposed richer economy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discoveries.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(window open; collection commenced August 2026)</w:t>
            </w:r>
          </w:p>
        </w:tc>
        <w:tc>
          <w:tcPr>
            <w:tcW w:type="dxa" w:w="2384"/>
          </w:tcPr>
          <w:p>
            <w:r>
              <w:t>Stage 3B pre-specified 2x2 field experiment</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first returned record received 15 August 2026; returns are being checked against the protocol before classification. [Results TO BE REPORTED when the window closes]</w:t>
            </w:r>
          </w:p>
        </w:tc>
        <w:tc>
          <w:tcPr>
            <w:tcW w:type="dxa" w:w="3596"/>
          </w:tcPr>
          <w:p>
            <w:r>
              <w:rPr>
                <w:highlight w:val="yellow"/>
              </w:rPr>
              <w:t>[OPEN — planned tests of adaptive/static and failure-presentation components;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candidate explanations and proposed engineering response</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Yellow cells await author input or the close of the Stage 3B window.</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 [AUTHOR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 design (§8.8); separate framing comparison proposed</w:t>
            </w:r>
          </w:p>
        </w:tc>
        <w:tc>
          <w:tcPr>
            <w:tcW w:w="1796" w:type="dxa"/>
          </w:tcPr>
          <w:p>
            <w:r>
              <w:t>Proposed; complete framework and progress specification not yet evaluated</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future evaluation should compare them with decoupling alone and with simpler support alternatives.</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concerns component testing;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br/>
        <w:b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zero-failure/failure-possible);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verified returns, which are under verification (§8.8). The participant-to-device-copy mapping completes from the device-rotation log as return verification closes.</w:t>
      </w:r>
      <w:r>
        <w:rPr>
          <w:highlight w:val="yellow"/>
        </w:rPr>
      </w:r>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1"/>
        <w:pageBreakBefore/>
      </w:pPr>
      <w:r>
        <w:rPr>
          <w:color w:val="000000"/>
        </w:rPr>
        <w:t>Author completion checklist</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interim status in §8.8 and Table 9.1 (designed after Stage 3A; prospectively specified 8–9 August 2026; collection commenced August 2026; returns under verification), and adds the Stage-3A designation note in §6.1. The examination-driven revision cycle is complete.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Stage 3B cells that close when the August-October 2026 window ends (s8.8, Table 9.1); and (e) the Appendix G manifest and build-lineage stubs (G.0, G.0A), which complete as the archive records land. External gates tracked in the working file PENDING_ITEMS.md, outside this document: the SS-293 camera-ready consent check, the supervisor's report and the Stage-3B protocol sign-off.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V39 revised thesis with retained author completion items.</dc:description>
  <cp:lastModifiedBy>TAM, Sidney [Student]</cp:lastModifiedBy>
  <cp:revision>6</cp:revision>
  <cp:lastPrinted>2026-07-11T05:43:00Z</cp:lastPrinted>
  <dcterms:created xsi:type="dcterms:W3CDTF">2026-07-03T09:50:00Z</dcterms:created>
  <dcterms:modified xsi:type="dcterms:W3CDTF">2026-07-11T10:34:00Z</dcterms:modified>
  <cp:category/>
  <cp:version>39</cp:version>
</cp:coreProperties>
</file>