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Expert Interview Summary — Expert P (Physiotherapist)</w:t>
      </w:r>
    </w:p>
    <w:p>
      <w:pPr>
        <w:jc w:val="center"/>
      </w:pPr>
      <w:r>
        <w:rPr>
          <w:i/>
          <w:sz w:val="20"/>
        </w:rPr>
        <w:t>EngD Research Record — Expert Consultation Series (first consultation, March 2026)</w:t>
        <w:br/>
        <w:t>Project: Leveraging Gamification as a Proactive Approach for Continuous Improvement and Innovation Enhancement</w:t>
        <w:br/>
        <w:t>Researcher: Sidney K. T. Tam · Lead Supervisor: Prof. Benny C. F. Cheung</w:t>
        <w:br/>
        <w:t>PSEUDONYMISED RECORD — the participant elected anonymity on the signed consent form; this document is written for publication-safe use as-is.</w:t>
        <w:br/>
        <w:t>DRAFT for author review — prepared 4 August 2026</w:t>
      </w:r>
    </w:p>
    <w:p>
      <w:pPr>
        <w:pStyle w:val="Heading1"/>
      </w:pPr>
      <w:r>
        <w:t>1. Participant and standpoint (pseudonymised)</w:t>
      </w:r>
    </w:p>
    <w:p>
      <w:r>
        <w:rPr>
          <w:i w:val="0"/>
        </w:rPr>
        <w:t>Expert P is a senior physiotherapist in Hong Kong with over twenty-five years of clinical practice, trained locally, and a former chair of a professional physiotherapy body in Hong Kong. He operates his own practice serving a wide clientele, from professional trainers to stroke-rehabilitation patients, and works daily with rehabilitation and therapeutic equipment. Under the terms of his signed consent (anonymity/pseudonymity elected), his name, exact affiliations and identifying career details are withheld from all research outputs and are held only in the confidential consent record.</w:t>
      </w:r>
    </w:p>
    <w:p>
      <w:r>
        <w:rPr>
          <w:i/>
        </w:rPr>
        <w:t>CONFIDENTIAL KEY — internal file note, remove from any published version: the corresponding signed consent form is archived in the thesis evidence folder (signed and countersigned 4 August 2026).</w:t>
      </w:r>
    </w:p>
    <w:p>
      <w:pPr>
        <w:pStyle w:val="Heading1"/>
      </w:pPr>
      <w:r>
        <w:t>2. Consent and interview record</w:t>
      </w:r>
    </w:p>
    <w:p>
      <w:r>
        <w:rPr>
          <w:i w:val="0"/>
        </w:rPr>
        <w:t>Interview: March 2026 (the first of the four expert consultations), by telephone, approximately 25 minutes, in Cantonese mixed with English; the researcher's written notes are the primary record; quotations below are the researcher's English renderings. Consent: signed form received 4 August 2026 — all nine statements initialled, participant signature dated 4/8/2026, researcher countersigned; identification preference: anonymous/pseudonymous (named attribution refused). Under the programme's dual-dating rule the record states both dates: interview March 2026; written consent 4 August 2026, obtained retrospectively. Anonymised quotation is permitted (statement 8 initialled).</w:t>
      </w:r>
    </w:p>
    <w:p>
      <w:pPr>
        <w:pStyle w:val="Heading1"/>
      </w:pPr>
      <w:r>
        <w:t>3. Summary of Expert P's views (researcher's record)</w:t>
      </w:r>
    </w:p>
    <w:p>
      <w:r>
        <w:rPr>
          <w:i w:val="0"/>
        </w:rPr>
        <w:t>3.1 The narrow rehabilitation window. Elderly patients who enter rehabilitation after surgical intervention or recovery side-effects generally follow the prescribed guidelines at first — but the window is very narrow. If the rehabilitation does not deliver immediate or short-term improvement they normally give up: typically within a couple of weeks and not more than two months; sometimes within two weeks or after only a few attendances. The researcher noted this timing converges with the programme's own first observations of early disengagement.</w:t>
      </w:r>
    </w:p>
    <w:p>
      <w:r>
        <w:rPr>
          <w:i w:val="0"/>
        </w:rPr>
        <w:t>3.2 Why they give up. Expert P identified the drivers in his caseload: (1) loss of faith in further improvement, connected to their sense of aging and approaching the end of life; (2) abandonment is mostly NOT caused by the difficulty of the health technology — lack of rewards, slow improvement and long time-to-results are the common challenges, particularly for the elderly group.</w:t>
      </w:r>
    </w:p>
    <w:p>
      <w:r>
        <w:rPr>
          <w:i w:val="0"/>
        </w:rPr>
        <w:t>3.3 Necessary complexity. Simple systems can work, but some clinical assessment and rehabilitation cannot be made simple: balance abilities, fall-risk assessment, and mental and cognitive evaluation require complicated systems. He therefore accepted that a gamified system may help engagement and retention in using such health technology — gamification as the means of keeping necessary complexity bearable.</w:t>
      </w:r>
    </w:p>
    <w:p>
      <w:r>
        <w:rPr>
          <w:i w:val="0"/>
        </w:rPr>
        <w:t>3.4 The infantilisation risk. Some games are far too simple: elderly users may not find them interesting enough and feel the game is childish. Challenge and presentation must be adult-appropriate.</w:t>
      </w:r>
    </w:p>
    <w:p>
      <w:r>
        <w:rPr>
          <w:i w:val="0"/>
        </w:rPr>
        <w:t>3.5 Demographic differences and the ego effect. Different elderly demographic groups perform quite differently. The higher-educated group with better financial conditions are the key regular users of advanced health technology. But they behave similarly to others when the game's rewards become difficult to obtain — and their egos are typically higher than those of elderly people from general working-class backgrounds. In particular, if they are OBSERVED failing while playing, they will probably stop immediately. Failure witnessed by others is a stronger stopping trigger than failure alone.</w:t>
      </w:r>
    </w:p>
    <w:p>
      <w:r>
        <w:rPr>
          <w:i w:val="0"/>
        </w:rPr>
        <w:t>3.6 The reward contradiction. Game rewards are critical particularly for general working-class elderly, whose capacity to accept health technology is far lower than that of the educated group. Expert P acknowledged this as a contradiction — the group that most needs rewards is hardest to reach with the technology, while the group the technology reaches is most sensitive to visible failure. He suggested an AI-designed game may help resolve it, while stating plainly that he did not know whether it would work.</w:t>
      </w:r>
    </w:p>
    <w:p>
      <w:r>
        <w:rPr>
          <w:i w:val="0"/>
        </w:rPr>
        <w:t>3.7 Willingness to trial. He would like to try such a system in practice — a forward-validation prospect, not a finding.</w:t>
      </w:r>
    </w:p>
    <w:p>
      <w:pPr>
        <w:pStyle w:val="Heading1"/>
      </w:pPr>
      <w:r>
        <w:t>4. Relation to the thesis</w:t>
      </w:r>
    </w:p>
    <w:p>
      <w:r>
        <w:rPr>
          <w:i w:val="0"/>
        </w:rPr>
        <w:t>(a) FIDS timing (§5.5): the two-week-to-two-month abandonment window from an independent clinical caseload converges with the programme's observed early-disengagement timing. (b) Attribution (§5.6, §8.5): abandonment is not driven by technology difficulty — reward scarcity, slow visible progress and hopelessness about improvement dominate; the aging-and-mortality component enriches the FIAS self-concept mechanism. (c) The avoided middle (§8.6B, Figure 8.1): balance, fall-risk and cognitive assessment cannot be simplified away — supporting the thesis argument that the measuring middle ground must be made bearable rather than avoided. (d) Design implications (§7.5): the infantilisation warning and the observed-failure/ego effect support adult-calibrated challenge and private, unsupervised play — the Stage-3 deployment choice — and add a social-exposure moderator to the failure mechanism. (e) Demographic convergence: his educated/financially-comfortable adopter profile matches the fourth consultation's independent account, and his reward-contradiction sharpens the adaptive-learning framework's calibration problem. As with the whole panel, these views are interpretation and practice validation; they are not additional empirical evidence and do not substitute for sample size.</w:t>
      </w:r>
    </w:p>
    <w:p>
      <w:pPr>
        <w:pStyle w:val="Heading1"/>
      </w:pPr>
      <w:r>
        <w:t>5. Records checklist</w:t>
      </w:r>
    </w:p>
    <w:p>
      <w:r>
        <w:rPr>
          <w:i w:val="0"/>
        </w:rPr>
        <w:t>Archived: signed + countersigned consent form (4 Aug 2026); WhatsApp transmittal screenshot (including the participant's first incomplete return, corrected the same evening). This summary is drafted from the author's texted account of 4 Aug 2026; original written notes may be added to the confidential file as optional strengthening.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