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r>
        <w:t xml:space="preserve"> DESIGN EXTENDED 9 Aug 2026 (author's decision): a second randomised factor, FAILURE MODE, is crossed with the arm — 50/50 silent assignment at consent to zero-failure (bumps never end a run) or failure-possible (three bumps end the run early: game over, framed encouragingly with immediate replay). This yields a 2x2 factorial (adaptive/static x zero-fail/fail-possible). The failure-possible cells directly test the framework's core claim: whether adaptive presentation preserves return behaviour AFTER actual failure. Return-after-game-over becomes a primary behavioural outcome in those cells. RISK NOTE for supervisor: game-over is the mild, casual-game kind (kind wording, instant retry); discouragement from failure is the phenomenon under study and was declared as such in the approved application's risk section; the factor must be included in the signed protocol. DIFFICULTY: in the adaptive arm the rule agent raises difficulty (max +0.10/step, ceiling x1.50) when the player avoids &gt;80% of obstacles and eases (-0.15, floor x0.30) below 40%; the static arm stays at x0.85 throughout; failure mode does not alter difficulty logic, only what a bump costs.</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r>
        <w:t xml:space="preserve"> RUN STRUCTURE (locked 9 Aug 2026 after author play-testing): every run lasts a fixed 30 seconds — the 200 m distance goal is a mid-run bonus, not an early end — so all participants and both arms receive equal exposure time per run, standardising the arm comparison. Languages: Traditional Chinese, Simplified Chinese and English, participant-selected at first launch.</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