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t>Activity</w:t>
            </w:r>
          </w:p>
        </w:tc>
        <w:tc>
          <w:tcPr>
            <w:tcW w:type="dxa" w:w="2835"/>
          </w:tcPr>
          <w:p>
            <w:r>
              <w:rPr>
                <w:b/>
              </w:rPr>
              <w:t>Period</w:t>
            </w:r>
          </w:p>
        </w:tc>
        <w:tc>
          <w:tcPr>
            <w:tcW w:type="dxa" w:w="2835"/>
          </w:tcPr>
          <w:p>
            <w:r>
              <w:rPr>
                <w:b/>
              </w:rPr>
              <w:t>Reported in</w:t>
            </w:r>
          </w:p>
        </w:tc>
      </w:tr>
      <w:tr>
        <w:tc>
          <w:tcPr>
            <w:tcW w:type="dxa" w:w="2835"/>
          </w:tcPr>
          <w:p>
            <w:r>
              <w:t>Site observation and the FIDS conjecture</w:t>
            </w:r>
          </w:p>
        </w:tc>
        <w:tc>
          <w:tcPr>
            <w:tcW w:type="dxa" w:w="2835"/>
          </w:tcPr>
          <w:p>
            <w:r>
              <w:t>2023</w:t>
            </w:r>
          </w:p>
        </w:tc>
        <w:tc>
          <w:tcPr>
            <w:tcW w:type="dxa" w:w="2835"/>
          </w:tcPr>
          <w:p>
            <w:r>
              <w:t>Chapter 1</w:t>
            </w:r>
          </w:p>
        </w:tc>
      </w:tr>
      <w:tr>
        <w:tc>
          <w:tcPr>
            <w:tcW w:type="dxa" w:w="2835"/>
          </w:tcPr>
          <w:p>
            <w:r>
              <w:t>Stage 1 — retrospective survey (N=200 of 280)</w:t>
            </w:r>
          </w:p>
        </w:tc>
        <w:tc>
          <w:tcPr>
            <w:tcW w:type="dxa" w:w="2835"/>
          </w:tcPr>
          <w:p>
            <w:r>
              <w:t>July–August 2024</w:t>
            </w:r>
          </w:p>
        </w:tc>
        <w:tc>
          <w:tcPr>
            <w:tcW w:type="dxa" w:w="2835"/>
          </w:tcPr>
          <w:p>
            <w:r>
              <w:t>Chapter 4</w:t>
            </w:r>
          </w:p>
        </w:tc>
      </w:tr>
      <w:tr>
        <w:tc>
          <w:tcPr>
            <w:tcW w:type="dxa" w:w="2835"/>
          </w:tcPr>
          <w:p>
            <w:r>
              <w:t>Game design and platform validation</w:t>
            </w:r>
          </w:p>
        </w:tc>
        <w:tc>
          <w:tcPr>
            <w:tcW w:type="dxa" w:w="2835"/>
          </w:tcPr>
          <w:p>
            <w:r>
              <w:t>2024</w:t>
            </w:r>
          </w:p>
        </w:tc>
        <w:tc>
          <w:tcPr>
            <w:tcW w:type="dxa" w:w="2835"/>
          </w:tcPr>
          <w:p>
            <w:r>
              <w:t>Chapter 5, Appendix G.8</w:t>
            </w:r>
          </w:p>
        </w:tc>
      </w:tr>
      <w:tr>
        <w:tc>
          <w:tcPr>
            <w:tcW w:type="dxa" w:w="2835"/>
          </w:tcPr>
          <w:p>
            <w:r>
              <w:t>Stage 2 — eight-week facility deployment (N=30)</w:t>
            </w:r>
          </w:p>
        </w:tc>
        <w:tc>
          <w:tcPr>
            <w:tcW w:type="dxa" w:w="2835"/>
          </w:tcPr>
          <w:p>
            <w:r>
              <w:rPr>
                <w:highlight w:val="yellow"/>
              </w:rPr>
              <w:t>[AUTHOR INPUT NEEDED: exact dates]</w:t>
            </w:r>
          </w:p>
        </w:tc>
        <w:tc>
          <w:tcPr>
            <w:tcW w:type="dxa" w:w="2835"/>
          </w:tcPr>
          <w:p>
            <w:r>
              <w:t>Chapter 5</w:t>
            </w:r>
          </w:p>
        </w:tc>
      </w:tr>
      <w:tr>
        <w:tc>
          <w:tcPr>
            <w:tcW w:type="dxa" w:w="2835"/>
          </w:tcPr>
          <w:p>
            <w:r>
              <w:t>Stage 3 — remote decoupled deployment (register N=120)</w:t>
            </w:r>
          </w:p>
        </w:tc>
        <w:tc>
          <w:tcPr>
            <w:tcW w:type="dxa" w:w="2835"/>
          </w:tcPr>
          <w:p>
            <w:r>
              <w:t>March–April 2026</w:t>
            </w:r>
          </w:p>
        </w:tc>
        <w:tc>
          <w:tcPr>
            <w:tcW w:type="dxa" w:w="2835"/>
          </w:tcPr>
          <w:p>
            <w:r>
              <w:t>Chapter 6</w:t>
            </w:r>
          </w:p>
        </w:tc>
      </w:tr>
      <w:tr>
        <w:tc>
          <w:tcPr>
            <w:tcW w:type="dxa" w:w="2835"/>
          </w:tcPr>
          <w:p>
            <w:r>
              <w:t>Expert consultation panel (four consultations + follow-ups)</w:t>
            </w:r>
          </w:p>
        </w:tc>
        <w:tc>
          <w:tcPr>
            <w:tcW w:type="dxa" w:w="2835"/>
          </w:tcPr>
          <w:p>
            <w:r>
              <w:t>March–August 2026</w:t>
            </w:r>
          </w:p>
        </w:tc>
        <w:tc>
          <w:tcPr>
            <w:tcW w:type="dxa" w:w="2835"/>
          </w:tcPr>
          <w:p>
            <w:r>
              <w:t>§6.12, Appendix H</w:t>
            </w:r>
          </w:p>
        </w:tc>
      </w:tr>
      <w:tr>
        <w:tc>
          <w:tcPr>
            <w:tcW w:type="dxa" w:w="2835"/>
          </w:tcPr>
          <w:p>
            <w:r>
              <w:t>Ethics approval HSEARS20260805008</w:t>
            </w:r>
          </w:p>
        </w:tc>
        <w:tc>
          <w:tcPr>
            <w:tcW w:type="dxa" w:w="2835"/>
          </w:tcPr>
          <w:p>
            <w:r>
              <w:t>August 2026</w:t>
            </w:r>
          </w:p>
        </w:tc>
        <w:tc>
          <w:tcPr>
            <w:tcW w:type="dxa" w:w="2835"/>
          </w:tcPr>
          <w:p>
            <w:r>
              <w:t>§3.4</w:t>
            </w:r>
          </w:p>
        </w:tc>
      </w:tr>
      <w:tr>
        <w:tc>
          <w:tcPr>
            <w:tcW w:type="dxa" w:w="2835"/>
          </w:tcPr>
          <w:p>
            <w:r>
              <w:t>Stage 3B — pre-registered 2x2 field experiment</w:t>
            </w:r>
          </w:p>
        </w:tc>
        <w:tc>
          <w:tcPr>
            <w:tcW w:type="dxa" w:w="2835"/>
          </w:tcPr>
          <w:p>
            <w:r>
              <w:rPr>
                <w:highlight w:val="yellow"/>
              </w:rPr>
              <w:t>August–October 2026 [AUTHOR INPUT NEEDED: window dates]</w:t>
            </w:r>
          </w:p>
        </w:tc>
        <w:tc>
          <w:tcPr>
            <w:tcW w:type="dxa" w:w="2835"/>
          </w:tcPr>
          <w:p>
            <w:r>
              <w:t>§8.8</w:t>
            </w:r>
          </w:p>
        </w:tc>
      </w:tr>
      <w:tr>
        <w:tc>
          <w:tcPr>
            <w:tcW w:type="dxa" w:w="2835"/>
          </w:tcPr>
          <w:p>
            <w:r>
              <w:t>Programme close and thesis completion</w:t>
            </w:r>
          </w:p>
        </w:tc>
        <w:tc>
          <w:tcPr>
            <w:tcW w:type="dxa" w:w="2835"/>
          </w:tcPr>
          <w:p>
            <w:r>
              <w:t>October 2026</w:t>
            </w:r>
          </w:p>
        </w:tc>
        <w:tc>
          <w:tcPr>
            <w:tcW w:type="dxa" w:w="2835"/>
          </w:tcPr>
          <w:p>
            <w:r>
              <w:t>Chapter 9</w:t>
            </w:r>
          </w:p>
        </w:tc>
      </w:tr>
    </w:tbl>
    <w:p>
      <w:r>
        <w:t>Table 3.1A. Programme timeline: evidence activities in calendar order, July 2024 – October 2026, with the chapter that reports each. The research programme closes in October 2026.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Account of Failure-Associated Non-Return</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t>Observation class H0 cannot accommodate</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r>
              <w:t>Construct contributed to the account</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The First Interpretive Consultation (Dr Yuan)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r>
        <w:t>Baddeley, A., &amp; Wilson, B. A. (1994). When implicit learning fails: Amnesia and the problem of error elimination. Neuropsychologia, 32(1), 53-68.</w:t>
      </w:r>
    </w:p>
    <w:p>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r>
        <w:t>Perissinotto, C., Zhang, C., Oseau, T., Balik, D., Sou, C., Burnight, C., &amp; Burnight, K. (2019). Feasibility of a tablet designed for older adults to facilitate telemedicine visits [Conference abstract]. Innovation in Aging, 3(Suppl. 1), S975. https://doi.org/10.1093/geroni/igz038.3534</w:t>
      </w:r>
    </w:p>
    <w:p>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r>
        <w:rPr>
          <w:highlight w:val="yellow"/>
        </w:rPr>
        <w:t>[AUTHOR INPUT NEEDED - H.6 completion: second-consultation record (game feedback with date and build; Mirror-project paragraph subject to Dr Lau's clearance; member-check outcome).]</w:t>
      </w:r>
    </w:p>
    <w:p>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r>
        <w:rPr>
          <w:highlight w:val="yellow"/>
        </w:rPr>
        <w:t>[AUTHOR INPUT NEEDED - H.7: member-check outcome (send Dr Choy his summary for validation).]</w:t>
      </w:r>
    </w:p>
    <w:p>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