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Gamification as a Proactive Approach: A Study of Elderly Failure-Induced Abandonment in Gamified Fall Risk Assessment</w:t>
      </w:r>
    </w:p>
    <w:p>
      <w:pPr>
        <w:jc w:val="center"/>
      </w:pPr>
      <w:r>
        <w:t>Sidney K. T. Tam and Chi Fai Cheung</w:t>
        <w:br/>
        <w:t>Behaviour and Knowledge Engineering Research Centre, Department of Industrial and Systems Engineering,</w:t>
        <w:br/>
        <w:t>The Hong Kong Polytechnic University, Hong Kong, China</w:t>
        <w:br/>
        <w:t>Corresponding author: sidney.tam@connect.polyu.hk</w:t>
      </w:r>
    </w:p>
    <w:p>
      <w:pPr>
        <w:pStyle w:val="Heading1"/>
      </w:pPr>
      <w:r>
        <w:t>Abstract</w:t>
      </w:r>
    </w:p>
    <w:p>
      <w:r>
        <w:t>Fall Risk Assessment (FRA) systems assess balance and support fall prevention, but rarely sustain elderly engagement. In an eight-week action-research deployment at a Southern China care facility, thirty residents (aged 62-84) used an AI-assisted skiing game on the FRA's pressure panel: one weight shift both steers the game and yields the balance measurement. Seventy per cent disengaged within three cycles, 26.7% after one session, and none returned. Yet the recorded FRA index improved (+6.9 points among sustained participants; +4.0 across all thirty), and three who improved in their only session never returned. Satisfaction was strongly associated with sustained engagement (p = 0.013). We propose two working hypotheses: Failure-Induced Dropout (FIDS), self-efficacy collapse at first failure, and Failure-Induced Abandonment (FIAS), loss aversion when failure reads as evidence of decline. Five falsifiable predictions are specified for a pre-registered three-arm confirmatory study.</w:t>
      </w:r>
    </w:p>
    <w:p>
      <w:pPr>
        <w:pStyle w:val="Heading1"/>
      </w:pPr>
      <w:r>
        <w:t>Keywords</w:t>
      </w:r>
    </w:p>
    <w:p>
      <w:r>
        <w:t>fall risk assessment; gamification; elderly technology adoption; failure-induced abandonment; loss aversion; eHealth attrition; action research</w:t>
      </w:r>
    </w:p>
    <w:p>
      <w:pPr>
        <w:pStyle w:val="Heading1"/>
      </w:pPr>
      <w:r>
        <w:t>Acknowledgments</w:t>
      </w:r>
    </w:p>
    <w:p>
      <w:r>
        <w:t>The authors thank the management and nursing staff, and the residents of the participating residential care facility in Southern China, for their generous cooperation. Supervision by Prof. Chi Fai Cheung at The Hong Kong Polytechnic University is gratefully acknowledged. AI tooling (Anthropic Claude Code and API services) was used as an enabling technology for game development and difficulty adaptation; the contribution of this paper is the behavioural analysis and the design framework. The authors declare no competing financial or non-financial interests; the lead author holds no financial relationship with Anthropic; the facility was not involved in data analysis or manuscript preparation; the study received no external funding.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