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Multi-Market Revenue Model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Same Korean-developed personalised product family, exported across markets. Illustrative.</w:t>
      </w:r>
    </w:p>
    <w:p>
      <w:pPr>
        <w:spacing w:after="40"/>
      </w:pPr>
      <w:r>
        <w:rPr>
          <w:b/>
          <w:i w:val="0"/>
          <w:sz w:val="21"/>
        </w:rPr>
        <w:t>Same product, more markets.</w:t>
      </w:r>
    </w:p>
    <w:p>
      <w:pPr>
        <w:spacing w:after="120"/>
      </w:pPr>
      <w:r>
        <w:rPr>
          <w:b w:val="0"/>
          <w:i w:val="0"/>
          <w:sz w:val="21"/>
        </w:rPr>
        <w:t>One product family — the applicator device + CodeLife-configured peptide/exosome kit developed for Korean physicians — is exported as-is. Personalisation is by physician purpose within the same approved envelope; there is no separate per-market product development. Unit economics are identical in every market; only the clinic base and timing differ.</w:t>
      </w:r>
    </w:p>
    <w:p>
      <w:pPr>
        <w:spacing w:after="40"/>
      </w:pPr>
      <w:r>
        <w:rPr>
          <w:b/>
          <w:i w:val="0"/>
          <w:sz w:val="21"/>
        </w:rPr>
        <w:t>Why one product across markets matters</w:t>
      </w:r>
    </w:p>
    <w:p>
      <w:pPr>
        <w:pStyle w:val="ListBullet"/>
      </w:pPr>
      <w:r>
        <w:rPr>
          <w:b/>
        </w:rPr>
        <w:t>Same unit economics everywhere —</w:t>
      </w:r>
      <w:r>
        <w:t xml:space="preserve"> EXW $32.50, kit GP $21.50 (66.2%); device ASP $3000 at 40% GM.</w:t>
      </w:r>
    </w:p>
    <w:p>
      <w:pPr>
        <w:pStyle w:val="ListBullet"/>
      </w:pPr>
      <w:r>
        <w:rPr>
          <w:b/>
        </w:rPr>
        <w:t>Manufacturing scale —</w:t>
      </w:r>
      <w:r>
        <w:t xml:space="preserve"> one production line + one QC/stability spec serves all markets; scale lowers cost and focuses the cold-chain fix on a single SKU family.</w:t>
      </w:r>
    </w:p>
    <w:p>
      <w:pPr>
        <w:pStyle w:val="ListBullet"/>
      </w:pPr>
      <w:r>
        <w:rPr>
          <w:b/>
        </w:rPr>
        <w:t>Richer data flywheel —</w:t>
      </w:r>
      <w:r>
        <w:t xml:space="preserve"> the same product across 12 markets yields a larger, comparable outcomes dataset.</w:t>
      </w:r>
    </w:p>
    <w:p>
      <w:pPr>
        <w:pStyle w:val="ListBullet"/>
      </w:pPr>
      <w:r>
        <w:rPr>
          <w:b/>
        </w:rPr>
        <w:t>Regulatory —</w:t>
      </w:r>
      <w:r>
        <w:t xml:space="preserve"> the Korean technical file is the master dossier; each market is a reliance filing of the same device family.</w:t>
      </w:r>
    </w:p>
    <w:p>
      <w:pPr>
        <w:pStyle w:val="Heading2"/>
      </w:pPr>
      <w:r>
        <w:t>Cumulative clinics by market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Korea (anchor)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180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85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220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Indonesia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Philippines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Taiwan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China (Hainan-&gt;NMPA)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2020</w:t>
            </w:r>
          </w:p>
        </w:tc>
      </w:tr>
    </w:tbl>
    <w:p>
      <w:pPr>
        <w:spacing w:after="40"/>
      </w:pPr>
    </w:p>
    <w:p>
      <w:pPr>
        <w:pStyle w:val="Heading2"/>
      </w:pPr>
      <w:r>
        <w:t>Consolidated P&amp;L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24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New clinics (devices sold)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355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655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850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Treatment kits (000s)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472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1,180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2,233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Kit revenue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3,640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15,356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38,334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72,572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Device revenue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480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1,065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1,965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2,550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revenue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Total gross profit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2,602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10,592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26,163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49,063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Blended gross margin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63.1%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64.5%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64.9%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65.3%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OpEx [ASSUMPTION]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11,000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16,000</w:t>
            </w:r>
          </w:p>
        </w:tc>
      </w:tr>
      <w:tr>
        <w:tc>
          <w:tcPr>
            <w:tcW w:type="dxa" w:w="3024"/>
          </w:tcPr>
          <w:p>
            <w:r>
              <w:rPr>
                <w:sz w:val="19"/>
              </w:rPr>
              <w:t>EBITDA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-398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3,592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15,163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33,063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Kits = average active clinics × 1400 kits/clinic/yr (first-year clinics ramp, approximated by averaging opening/closing counts). Devices = new clinics × $3000. Distributors are arm's-length, non-consolidated; revenue is booked at the ex-factory line.</w:t>
      </w:r>
    </w:p>
    <w:p>
      <w:pPr>
        <w:pStyle w:val="Heading2"/>
      </w:pPr>
      <w:r>
        <w:t>Vs. the single-market (Korea-only) base</w:t>
      </w:r>
    </w:p>
    <w:p>
      <w:pPr>
        <w:spacing w:after="120"/>
      </w:pPr>
      <w:r>
        <w:rPr>
          <w:b w:val="0"/>
          <w:i w:val="0"/>
          <w:sz w:val="21"/>
        </w:rPr>
        <w:t>The Korea-only v0.4 base reached ~$39.9M revenue by 2030 from ~1,000 clinics. Selling the SAME product into 12 markets lifts the clinic base to ~2020 and revenue to ~$75.1M by 2030 — uplift from distribution reach, not new products, so margins are unchanged and R&amp;D is not duplicated.</w:t>
      </w:r>
    </w:p>
    <w:p>
      <w:pPr>
        <w:spacing w:after="120"/>
      </w:pPr>
      <w:r>
        <w:rPr>
          <w:b w:val="0"/>
          <w:i/>
          <w:color w:val="555555"/>
          <w:sz w:val="18"/>
        </w:rPr>
        <w:t>Caveats: per-market clinic ramps are assumptions pending anchor-clinic evidence; the kit's regulatory class varies by market (cosmetic/device/drug) and exosome claims are restricted (see Export Strategy and business-plan §9). Cold-chain/stability must be solved on the single product spec before Wave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