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t>The 'before' value is the index from that participant's first play: no separate game-independent baseline assessment was administered, so both values derive from the same game-mediated measurement pathway and the recorded change is measured from first exposure to last.</w:t>
      </w:r>
      <w:r>
        <w:t xml:space="preserve"> Three consequences are stated plainly: the post-measurement time varies across participants - it is each participant's last play, not a fixed end-of-window date - so pre/post changes span different exposure durations; for single-session participants the recorded change derives from within that single session, the five-attempt structure supplying the within-session measurement points; and any familiarisation effect at first exposure - a first-play value depressed by the novelty of the control mapping - is contained in the measured change and cannot be separated from balance change in these data.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first play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(first play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V40 -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the Yuan consent-transmittal e-mail,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RESOLVED 10 Sep 2026: before = first play's index, after = final play's index; s5.5),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