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Observation class H0 cannot accommodate</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r>
              <w:t>Construct contributed to the account</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24"/>
                <w:szCs w:val="28"/>
                <w:lang w:val="en-US" w:eastAsia="en-US" w:bidi="ar-SA"/>
                <w:rFonts w:ascii="Times New Roman" w:hAnsi="Times New Roman" w:eastAsia="Times New Roman" w:cs="Times New Roman"/>
              </w:rPr>
              <w:t>Claim</w:t>
            </w:r>
          </w:p>
        </w:tc>
        <w:tc>
          <w:tcPr>
            <w:tcW w:type="dxa" w:w="1701"/>
          </w:tcPr>
          <w:p>
            <w:pPr>
              <w:pStyle w:val="Normal"/>
            </w:pPr>
            <w:r>
              <w:rPr>
                <w:b/>
                <w:sz w:val="24"/>
                <w:szCs w:val="28"/>
                <w:lang w:val="en-US" w:eastAsia="en-US" w:bidi="ar-SA"/>
                <w:rFonts w:ascii="Times New Roman" w:hAnsi="Times New Roman" w:eastAsia="Times New Roman" w:cs="Times New Roman"/>
              </w:rPr>
              <w:t>Origin</w:t>
            </w:r>
          </w:p>
        </w:tc>
        <w:tc>
          <w:tcPr>
            <w:tcW w:type="dxa" w:w="1701"/>
          </w:tcPr>
          <w:p>
            <w:pPr>
              <w:pStyle w:val="Normal"/>
            </w:pPr>
            <w:r>
              <w:rPr>
                <w:b/>
                <w:sz w:val="24"/>
                <w:szCs w:val="28"/>
                <w:lang w:val="en-US" w:eastAsia="en-US" w:bidi="ar-SA"/>
                <w:rFonts w:ascii="Times New Roman" w:hAnsi="Times New Roman" w:eastAsia="Times New Roman" w:cs="Times New Roman"/>
              </w:rPr>
              <w:t>Stated</w:t>
            </w:r>
          </w:p>
        </w:tc>
        <w:tc>
          <w:tcPr>
            <w:tcW w:type="dxa" w:w="1701"/>
          </w:tcPr>
          <w:p>
            <w:pPr>
              <w:pStyle w:val="Normal"/>
            </w:pPr>
            <w:r>
              <w:rPr>
                <w:b/>
                <w:sz w:val="24"/>
                <w:szCs w:val="28"/>
                <w:lang w:val="en-US" w:eastAsia="en-US" w:bidi="ar-SA"/>
                <w:rFonts w:ascii="Times New Roman" w:hAnsi="Times New Roman" w:eastAsia="Times New Roman" w:cs="Times New Roman"/>
              </w:rPr>
              <w:t>Tested / examined</w:t>
            </w:r>
          </w:p>
        </w:tc>
        <w:tc>
          <w:tcPr>
            <w:tcW w:type="dxa" w:w="1701"/>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t>Activity</w:t>
            </w:r>
          </w:p>
        </w:tc>
        <w:tc>
          <w:tcPr>
            <w:tcW w:type="dxa" w:w="2835"/>
          </w:tcPr>
          <w:p>
            <w:r>
              <w:rPr>
                <w:b/>
              </w:rPr>
              <w:t>Period</w:t>
            </w:r>
          </w:p>
        </w:tc>
        <w:tc>
          <w:tcPr>
            <w:tcW w:type="dxa" w:w="2835"/>
          </w:tcPr>
          <w:p>
            <w:r>
              <w:rPr>
                <w:b/>
              </w:rPr>
              <w:t>Reported in</w:t>
            </w:r>
          </w:p>
        </w:tc>
      </w:tr>
      <w:tr>
        <w:tc>
          <w:tcPr>
            <w:tcW w:type="dxa" w:w="2835"/>
          </w:tcPr>
          <w:p>
            <w:r>
              <w:t>Site observation and the FIDS conjecture</w:t>
            </w:r>
          </w:p>
        </w:tc>
        <w:tc>
          <w:tcPr>
            <w:tcW w:type="dxa" w:w="2835"/>
          </w:tcPr>
          <w:p>
            <w:r>
              <w:t>2023</w:t>
            </w:r>
          </w:p>
        </w:tc>
        <w:tc>
          <w:tcPr>
            <w:tcW w:type="dxa" w:w="2835"/>
          </w:tcPr>
          <w:p>
            <w:r>
              <w:t>Chapter 1</w:t>
            </w:r>
          </w:p>
        </w:tc>
      </w:tr>
      <w:tr>
        <w:tc>
          <w:tcPr>
            <w:tcW w:type="dxa" w:w="2835"/>
          </w:tcPr>
          <w:p>
            <w:r>
              <w:t>Stage 1 — retrospective survey (N=200 of 280)</w:t>
            </w:r>
          </w:p>
        </w:tc>
        <w:tc>
          <w:tcPr>
            <w:tcW w:type="dxa" w:w="2835"/>
          </w:tcPr>
          <w:p>
            <w:r>
              <w:t>July–August 2024</w:t>
            </w:r>
          </w:p>
        </w:tc>
        <w:tc>
          <w:tcPr>
            <w:tcW w:type="dxa" w:w="2835"/>
          </w:tcPr>
          <w:p>
            <w:r>
              <w:t>Chapter 4</w:t>
            </w:r>
          </w:p>
        </w:tc>
      </w:tr>
      <w:tr>
        <w:tc>
          <w:tcPr>
            <w:tcW w:type="dxa" w:w="2835"/>
          </w:tcPr>
          <w:p>
            <w:r>
              <w:t>Game design and platform validation</w:t>
            </w:r>
          </w:p>
        </w:tc>
        <w:tc>
          <w:tcPr>
            <w:tcW w:type="dxa" w:w="2835"/>
          </w:tcPr>
          <w:p>
            <w:r>
              <w:t>2024</w:t>
            </w:r>
          </w:p>
        </w:tc>
        <w:tc>
          <w:tcPr>
            <w:tcW w:type="dxa" w:w="2835"/>
          </w:tcPr>
          <w:p>
            <w:r>
              <w:t>Chapter 5, Appendix G.8</w:t>
            </w:r>
          </w:p>
        </w:tc>
      </w:tr>
      <w:tr>
        <w:tc>
          <w:tcPr>
            <w:tcW w:type="dxa" w:w="2835"/>
          </w:tcPr>
          <w:p>
            <w:r>
              <w:t>Stage 2 — eight-week facility deployment (N=30)</w:t>
            </w:r>
          </w:p>
        </w:tc>
        <w:tc>
          <w:tcPr>
            <w:tcW w:type="dxa" w:w="2835"/>
          </w:tcPr>
          <w:p>
            <w:r>
              <w:rPr>
                <w:highlight w:val="yellow"/>
              </w:rPr>
              <w:t>[AUTHOR INPUT NEEDED: exact dates]</w:t>
            </w:r>
          </w:p>
        </w:tc>
        <w:tc>
          <w:tcPr>
            <w:tcW w:type="dxa" w:w="2835"/>
          </w:tcPr>
          <w:p>
            <w:r>
              <w:t>Chapter 5</w:t>
            </w:r>
          </w:p>
        </w:tc>
      </w:tr>
      <w:tr>
        <w:tc>
          <w:tcPr>
            <w:tcW w:type="dxa" w:w="2835"/>
          </w:tcPr>
          <w:p>
            <w:r>
              <w:t>Stage 3 — remote decoupled deployment (register N=120)</w:t>
            </w:r>
          </w:p>
        </w:tc>
        <w:tc>
          <w:tcPr>
            <w:tcW w:type="dxa" w:w="2835"/>
          </w:tcPr>
          <w:p>
            <w:r>
              <w:t>March–April 2026</w:t>
            </w:r>
          </w:p>
        </w:tc>
        <w:tc>
          <w:tcPr>
            <w:tcW w:type="dxa" w:w="2835"/>
          </w:tcPr>
          <w:p>
            <w:r>
              <w:t>Chapter 6</w:t>
            </w:r>
          </w:p>
        </w:tc>
      </w:tr>
      <w:tr>
        <w:tc>
          <w:tcPr>
            <w:tcW w:type="dxa" w:w="2835"/>
          </w:tcPr>
          <w:p>
            <w:r>
              <w:t>Expert consultation panel (four consultations + follow-ups)</w:t>
            </w:r>
          </w:p>
        </w:tc>
        <w:tc>
          <w:tcPr>
            <w:tcW w:type="dxa" w:w="2835"/>
          </w:tcPr>
          <w:p>
            <w:r>
              <w:t>March–August 2026</w:t>
            </w:r>
          </w:p>
        </w:tc>
        <w:tc>
          <w:tcPr>
            <w:tcW w:type="dxa" w:w="2835"/>
          </w:tcPr>
          <w:p>
            <w:r>
              <w:t>§6.12, Appendix H</w:t>
            </w:r>
          </w:p>
        </w:tc>
      </w:tr>
      <w:tr>
        <w:tc>
          <w:tcPr>
            <w:tcW w:type="dxa" w:w="2835"/>
          </w:tcPr>
          <w:p>
            <w:r>
              <w:t>Ethics approval HSEARS20260805008</w:t>
            </w:r>
          </w:p>
        </w:tc>
        <w:tc>
          <w:tcPr>
            <w:tcW w:type="dxa" w:w="2835"/>
          </w:tcPr>
          <w:p>
            <w:r>
              <w:t>August 2026</w:t>
            </w:r>
          </w:p>
        </w:tc>
        <w:tc>
          <w:tcPr>
            <w:tcW w:type="dxa" w:w="2835"/>
          </w:tcPr>
          <w:p>
            <w:r>
              <w:t>§3.4</w:t>
            </w:r>
          </w:p>
        </w:tc>
      </w:tr>
      <w:tr>
        <w:tc>
          <w:tcPr>
            <w:tcW w:type="dxa" w:w="2835"/>
          </w:tcPr>
          <w:p>
            <w:r>
              <w:t>Stage 3B — pre-registered 2x2 field experiment</w:t>
            </w:r>
          </w:p>
        </w:tc>
        <w:tc>
          <w:tcPr>
            <w:tcW w:type="dxa" w:w="2835"/>
          </w:tcPr>
          <w:p>
            <w:r>
              <w:rPr>
                <w:highlight w:val="yellow"/>
              </w:rPr>
              <w:t>August–October 2026 [AUTHOR INPUT NEEDED: window dates]</w:t>
            </w:r>
          </w:p>
        </w:tc>
        <w:tc>
          <w:tcPr>
            <w:tcW w:type="dxa" w:w="2835"/>
          </w:tcPr>
          <w:p>
            <w:r>
              <w:t>§8.8</w:t>
            </w:r>
          </w:p>
        </w:tc>
      </w:tr>
      <w:tr>
        <w:tc>
          <w:tcPr>
            <w:tcW w:type="dxa" w:w="2835"/>
          </w:tcPr>
          <w:p>
            <w:r>
              <w:t>Programme close and thesis completion</w:t>
            </w:r>
          </w:p>
        </w:tc>
        <w:tc>
          <w:tcPr>
            <w:tcW w:type="dxa" w:w="2835"/>
          </w:tcPr>
          <w:p>
            <w:r>
              <w:t>October 2026</w:t>
            </w:r>
          </w:p>
        </w:tc>
        <w:tc>
          <w:tcPr>
            <w:tcW w:type="dxa" w:w="2835"/>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4"/>
                <w:szCs w:val="22"/>
                <w:lang w:val="en-US" w:eastAsia="en-US" w:bidi="ar-SA"/>
                <w:rFonts w:ascii="Times New Roman" w:hAnsi="Times New Roman" w:eastAsia="Times New Roman" w:cs="Times New Roman"/>
              </w:rPr>
              <w:t>Survey item</w:t>
            </w:r>
          </w:p>
        </w:tc>
        <w:tc>
          <w:tcPr>
            <w:tcW w:w="1848"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4"/>
                <w:szCs w:val="22"/>
                <w:lang w:val="en-US" w:eastAsia="en-US" w:bidi="ar-SA"/>
                <w:rFonts w:ascii="Times New Roman" w:hAnsi="Times New Roman" w:eastAsia="Times New Roman" w:cs="Times New Roman"/>
              </w:rPr>
              <w:t>Ever used FRA</w:t>
            </w:r>
          </w:p>
        </w:tc>
        <w:tc>
          <w:tcPr>
            <w:tcW w:w="1848"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4"/>
                <w:szCs w:val="22"/>
                <w:lang w:val="en-US" w:eastAsia="en-US" w:bidi="ar-SA"/>
                <w:rFonts w:ascii="Times New Roman" w:hAnsi="Times New Roman" w:eastAsia="Times New Roman" w:cs="Times New Roman"/>
              </w:rPr>
              <w:t>Never used FRA</w:t>
            </w:r>
          </w:p>
        </w:tc>
        <w:tc>
          <w:tcPr>
            <w:tcW w:w="1848"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4"/>
                <w:szCs w:val="22"/>
                <w:lang w:val="en-US" w:eastAsia="en-US" w:bidi="ar-SA"/>
                <w:rFonts w:ascii="Times New Roman" w:hAnsi="Times New Roman" w:eastAsia="Times New Roman" w:cs="Times New Roman"/>
              </w:rPr>
              <w:t>TAM assumption</w:t>
            </w:r>
          </w:p>
        </w:tc>
        <w:tc>
          <w:tcPr>
            <w:tcW w:w="2974"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4"/>
                <w:szCs w:val="22"/>
                <w:lang w:val="en-US" w:eastAsia="en-US" w:bidi="ar-SA"/>
                <w:rFonts w:ascii="Times New Roman" w:hAnsi="Times New Roman" w:eastAsia="Times New Roman" w:cs="Times New Roman"/>
              </w:rPr>
              <w:t>Users are retired</w:t>
            </w:r>
          </w:p>
        </w:tc>
        <w:tc>
          <w:tcPr>
            <w:tcW w:w="2832"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4"/>
                <w:szCs w:val="22"/>
                <w:lang w:val="en-US" w:eastAsia="en-US" w:bidi="ar-SA"/>
                <w:rFonts w:ascii="Times New Roman" w:hAnsi="Times New Roman" w:eastAsia="Times New Roman" w:cs="Times New Roman"/>
              </w:rPr>
              <w:t>Octalysis drive</w:t>
            </w:r>
          </w:p>
        </w:tc>
        <w:tc>
          <w:tcPr>
            <w:tcW w:w="2977" w:type="dxa"/>
          </w:tcPr>
          <w:p>
            <w:pPr>
              <w:pStyle w:val="Normal"/>
            </w:pPr>
            <w:r>
              <w:rPr>
                <w:b/>
                <w:sz w:val="24"/>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4"/>
                <w:szCs w:val="22"/>
                <w:lang w:val="en-US" w:eastAsia="en-US" w:bidi="ar-SA"/>
                <w:rFonts w:ascii="Times New Roman" w:hAnsi="Times New Roman" w:eastAsia="Times New Roman" w:cs="Times New Roman"/>
              </w:rPr>
              <w:t>D2 Accomplishment</w:t>
            </w:r>
          </w:p>
        </w:tc>
        <w:tc>
          <w:tcPr>
            <w:tcW w:w="2977"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4"/>
                <w:szCs w:val="22"/>
                <w:lang w:val="en-US" w:eastAsia="en-US" w:bidi="ar-SA"/>
                <w:rFonts w:ascii="Times New Roman" w:hAnsi="Times New Roman" w:eastAsia="Times New Roman" w:cs="Times New Roman"/>
              </w:rPr>
              <w:t>D5 Social Influence</w:t>
            </w:r>
          </w:p>
        </w:tc>
        <w:tc>
          <w:tcPr>
            <w:tcW w:w="2977"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4"/>
                <w:szCs w:val="22"/>
                <w:lang w:val="en-US" w:eastAsia="en-US" w:bidi="ar-SA"/>
                <w:rFonts w:ascii="Times New Roman" w:hAnsi="Times New Roman" w:eastAsia="Times New Roman" w:cs="Times New Roman"/>
              </w:rPr>
              <w:t>D8 Loss and Avoidance</w:t>
            </w:r>
          </w:p>
        </w:tc>
        <w:tc>
          <w:tcPr>
            <w:tcW w:w="2977"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4"/>
                <w:szCs w:val="26"/>
                <w:lang w:val="en-US" w:eastAsia="en-US" w:bidi="ar-SA"/>
                <w:rFonts w:ascii="Times New Roman" w:hAnsi="Times New Roman" w:eastAsia="Times New Roman" w:cs="Times New Roman"/>
              </w:rPr>
              <w:t>Engagement metric</w:t>
            </w:r>
          </w:p>
        </w:tc>
        <w:tc>
          <w:tcPr>
            <w:tcW w:w="4247"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4"/>
                <w:szCs w:val="22"/>
                <w:lang w:val="en-US" w:eastAsia="en-US" w:bidi="ar-SA"/>
                <w:rFonts w:ascii="Times New Roman" w:hAnsi="Times New Roman" w:eastAsia="Times New Roman" w:cs="Times New Roman"/>
              </w:rPr>
              <w:t>Low engagement (≤ 3 cycles)</w:t>
            </w:r>
          </w:p>
        </w:tc>
        <w:tc>
          <w:tcPr>
            <w:tcW w:w="4247"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4"/>
                <w:szCs w:val="22"/>
                <w:lang w:val="en-US" w:eastAsia="en-US" w:bidi="ar-SA"/>
                <w:rFonts w:ascii="Times New Roman" w:hAnsi="Times New Roman" w:eastAsia="Times New Roman" w:cs="Times New Roman"/>
              </w:rPr>
              <w:t>Sustained (≥ 4 cycles)</w:t>
            </w:r>
          </w:p>
        </w:tc>
        <w:tc>
          <w:tcPr>
            <w:tcW w:w="4247"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4"/>
                <w:szCs w:val="22"/>
                <w:lang w:val="en-US" w:eastAsia="en-US" w:bidi="ar-SA"/>
                <w:rFonts w:ascii="Times New Roman" w:hAnsi="Times New Roman" w:eastAsia="Times New Roman" w:cs="Times New Roman"/>
              </w:rPr>
              <w:t>Single-session exits</w:t>
            </w:r>
          </w:p>
        </w:tc>
        <w:tc>
          <w:tcPr>
            <w:tcW w:w="4247"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0"/>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0"/>
                <w:szCs w:val="26"/>
                <w:lang w:val="en-US" w:eastAsia="en-US" w:bidi="ar-SA"/>
                <w:rFonts w:ascii="Times New Roman" w:hAnsi="Times New Roman" w:eastAsia="Times New Roman" w:cs="Times New Roman"/>
              </w:rPr>
              <w:t>Construct</w:t>
            </w:r>
          </w:p>
        </w:tc>
        <w:tc>
          <w:tcPr>
            <w:tcW w:type="dxa" w:w="1215"/>
          </w:tcPr>
          <w:p>
            <w:pPr>
              <w:pStyle w:val="Normal"/>
            </w:pPr>
            <w:r>
              <w:rPr>
                <w:b/>
                <w:sz w:val="20"/>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0"/>
                <w:szCs w:val="26"/>
                <w:lang w:val="en-US" w:eastAsia="en-US" w:bidi="ar-SA"/>
                <w:rFonts w:ascii="Times New Roman" w:hAnsi="Times New Roman" w:eastAsia="Times New Roman" w:cs="Times New Roman"/>
              </w:rPr>
              <w:t>Loss-free states</w:t>
            </w:r>
          </w:p>
        </w:tc>
        <w:tc>
          <w:tcPr>
            <w:tcW w:type="dxa" w:w="1215"/>
          </w:tcPr>
          <w:p>
            <w:pPr>
              <w:pStyle w:val="Normal"/>
            </w:pPr>
            <w:r>
              <w:rPr>
                <w:b/>
                <w:sz w:val="20"/>
                <w:szCs w:val="26"/>
                <w:lang w:val="en-US" w:eastAsia="en-US" w:bidi="ar-SA"/>
                <w:rFonts w:ascii="Times New Roman" w:hAnsi="Times New Roman" w:eastAsia="Times New Roman" w:cs="Times New Roman"/>
              </w:rPr>
              <w:t>Trajectory display (L5)</w:t>
            </w:r>
          </w:p>
        </w:tc>
        <w:tc>
          <w:tcPr>
            <w:tcW w:type="dxa" w:w="1215"/>
          </w:tcPr>
          <w:p>
            <w:pPr>
              <w:pStyle w:val="Normal"/>
            </w:pPr>
            <w:r>
              <w:rPr>
                <w:b/>
                <w:sz w:val="20"/>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4"/>
                <w:szCs w:val="26"/>
                <w:lang w:val="en-US" w:eastAsia="en-US" w:bidi="ar-SA"/>
                <w:rFonts w:ascii="Times New Roman" w:hAnsi="Times New Roman" w:eastAsia="Times New Roman" w:cs="Times New Roman"/>
              </w:rPr>
              <w:t>Engagement metric</w:t>
            </w:r>
          </w:p>
        </w:tc>
        <w:tc>
          <w:tcPr>
            <w:tcW w:w="2831" w:type="dxa"/>
          </w:tcPr>
          <w:p>
            <w:pPr>
              <w:pStyle w:val="Normal"/>
            </w:pPr>
            <w:r>
              <w:rPr>
                <w:b/>
                <w:sz w:val="24"/>
                <w:szCs w:val="26"/>
                <w:lang w:val="en-US" w:eastAsia="en-US" w:bidi="ar-SA"/>
                <w:rFonts w:ascii="Times New Roman" w:hAnsi="Times New Roman" w:eastAsia="Times New Roman" w:cs="Times New Roman"/>
              </w:rPr>
              <w:t>Count</w:t>
            </w:r>
          </w:p>
        </w:tc>
        <w:tc>
          <w:tcPr>
            <w:tcW w:w="2832"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Initial dropout</w:t>
            </w:r>
          </w:p>
        </w:tc>
        <w:tc>
          <w:tcPr>
            <w:tcW w:w="2831" w:type="dxa"/>
          </w:tcPr>
          <w:p>
            <w:pPr>
              <w:pStyle w:val="Normal"/>
            </w:pPr>
            <w:r>
              <w:rPr>
                <w:sz w:val="24"/>
                <w:szCs w:val="22"/>
                <w:lang w:val="en-US" w:eastAsia="en-US" w:bidi="ar-SA"/>
                <w:rFonts w:ascii="Times New Roman" w:hAnsi="Times New Roman" w:eastAsia="Times New Roman" w:cs="Times New Roman"/>
              </w:rPr>
              <w:t>23/120</w:t>
            </w:r>
          </w:p>
        </w:tc>
        <w:tc>
          <w:tcPr>
            <w:tcW w:w="2832"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Returned after dropout</w:t>
            </w:r>
          </w:p>
        </w:tc>
        <w:tc>
          <w:tcPr>
            <w:tcW w:w="2831" w:type="dxa"/>
          </w:tcPr>
          <w:p>
            <w:pPr>
              <w:pStyle w:val="Normal"/>
            </w:pPr>
            <w:r>
              <w:rPr>
                <w:sz w:val="24"/>
                <w:szCs w:val="22"/>
                <w:lang w:val="en-US" w:eastAsia="en-US" w:bidi="ar-SA"/>
                <w:rFonts w:ascii="Times New Roman" w:hAnsi="Times New Roman" w:eastAsia="Times New Roman" w:cs="Times New Roman"/>
              </w:rPr>
              <w:t>15/23</w:t>
            </w:r>
          </w:p>
        </w:tc>
        <w:tc>
          <w:tcPr>
            <w:tcW w:w="2832"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4"/>
                <w:szCs w:val="22"/>
                <w:lang w:val="en-US" w:eastAsia="en-US" w:bidi="ar-SA"/>
                <w:rFonts w:ascii="Times New Roman" w:hAnsi="Times New Roman" w:eastAsia="Times New Roman" w:cs="Times New Roman"/>
              </w:rPr>
              <w:t>8/120</w:t>
            </w:r>
          </w:p>
        </w:tc>
        <w:tc>
          <w:tcPr>
            <w:tcW w:w="2832"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Overall retention</w:t>
            </w:r>
          </w:p>
        </w:tc>
        <w:tc>
          <w:tcPr>
            <w:tcW w:w="2831" w:type="dxa"/>
          </w:tcPr>
          <w:p>
            <w:pPr>
              <w:pStyle w:val="Normal"/>
            </w:pPr>
            <w:r>
              <w:rPr>
                <w:sz w:val="24"/>
                <w:szCs w:val="22"/>
                <w:lang w:val="en-US" w:eastAsia="en-US" w:bidi="ar-SA"/>
                <w:rFonts w:ascii="Times New Roman" w:hAnsi="Times New Roman" w:eastAsia="Times New Roman" w:cs="Times New Roman"/>
              </w:rPr>
              <w:t>112/120</w:t>
            </w:r>
          </w:p>
        </w:tc>
        <w:tc>
          <w:tcPr>
            <w:tcW w:w="2832"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4"/>
                <w:szCs w:val="22"/>
                <w:lang w:val="en-US" w:eastAsia="en-US" w:bidi="ar-SA"/>
                <w:rFonts w:ascii="Times New Roman" w:hAnsi="Times New Roman" w:eastAsia="Times New Roman" w:cs="Times New Roman"/>
              </w:rPr>
              <w:t>—</w:t>
            </w:r>
          </w:p>
        </w:tc>
        <w:tc>
          <w:tcPr>
            <w:tcW w:w="2832"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4"/>
                <w:b/>
              </w:rPr>
              <w:t>Age band</w:t>
            </w:r>
          </w:p>
        </w:tc>
        <w:tc>
          <w:tcPr>
            <w:tcW w:w="1415" w:type="dxa"/>
          </w:tcPr>
          <w:p>
            <w:pPr>
              <w:pStyle w:val="Normal"/>
            </w:pPr>
            <w:r>
              <w:rPr>
                <w:b/>
                <w:sz w:val="24"/>
                <w:szCs w:val="26"/>
                <w:lang w:val="en-US" w:eastAsia="en-US" w:bidi="ar-SA"/>
                <w:rFonts w:ascii="Times New Roman" w:hAnsi="Times New Roman" w:eastAsia="Times New Roman" w:cs="Times New Roman"/>
              </w:rPr>
              <w:t>n</w:t>
            </w:r>
          </w:p>
        </w:tc>
        <w:tc>
          <w:tcPr>
            <w:tcW w:w="1416" w:type="dxa"/>
          </w:tcPr>
          <w:p>
            <w:pPr>
              <w:pStyle w:val="Normal"/>
            </w:pPr>
            <w:r>
              <w:rPr>
                <w:b/>
                <w:sz w:val="24"/>
                <w:szCs w:val="26"/>
                <w:lang w:val="en-US" w:eastAsia="en-US" w:bidi="ar-SA"/>
                <w:rFonts w:ascii="Times New Roman" w:hAnsi="Times New Roman" w:eastAsia="Times New Roman" w:cs="Times New Roman"/>
              </w:rPr>
              <w:t>Initial dropout</w:t>
            </w:r>
          </w:p>
        </w:tc>
        <w:tc>
          <w:tcPr>
            <w:tcW w:w="1416" w:type="dxa"/>
          </w:tcPr>
          <w:p>
            <w:pPr>
              <w:pStyle w:val="Normal"/>
            </w:pPr>
            <w:r>
              <w:rPr>
                <w:b/>
                <w:sz w:val="24"/>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4"/>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4"/>
                <w:szCs w:val="22"/>
                <w:lang w:val="en-US" w:eastAsia="en-US" w:bidi="ar-SA"/>
                <w:rFonts w:ascii="Times New Roman" w:hAnsi="Times New Roman" w:eastAsia="Times New Roman" w:cs="Times New Roman"/>
              </w:rPr>
              <w:t>0 (0.0%)</w:t>
            </w:r>
          </w:p>
        </w:tc>
        <w:tc>
          <w:tcPr>
            <w:tcW w:w="1416" w:type="dxa"/>
          </w:tcPr>
          <w:p>
            <w:pPr>
              <w:pStyle w:val="Normal"/>
            </w:pPr>
            <w:r>
              <w:rPr>
                <w:sz w:val="24"/>
                <w:szCs w:val="22"/>
                <w:lang w:val="en-US" w:eastAsia="en-US" w:bidi="ar-SA"/>
                <w:rFonts w:ascii="Times New Roman" w:hAnsi="Times New Roman" w:eastAsia="Times New Roman" w:cs="Times New Roman"/>
              </w:rPr>
              <w:t>0</w:t>
            </w:r>
          </w:p>
        </w:tc>
        <w:tc>
          <w:tcPr>
            <w:tcW w:w="1416" w:type="dxa"/>
          </w:tcPr>
          <w:p>
            <w:pPr>
              <w:pStyle w:val="Normal"/>
            </w:pPr>
            <w:r>
              <w:rPr>
                <w:sz w:val="24"/>
                <w:szCs w:val="22"/>
                <w:lang w:val="en-US" w:eastAsia="en-US" w:bidi="ar-SA"/>
                <w:rFonts w:ascii="Times New Roman" w:hAnsi="Times New Roman" w:eastAsia="Times New Roman" w:cs="Times New Roman"/>
              </w:rPr>
              <w:t>0 (0.0%)</w:t>
            </w:r>
          </w:p>
        </w:tc>
        <w:tc>
          <w:tcPr>
            <w:tcW w:w="1416"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4"/>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4"/>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4"/>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4"/>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4"/>
                <w:szCs w:val="22"/>
                <w:lang w:val="en-US" w:eastAsia="en-US" w:bidi="ar-SA"/>
                <w:rFonts w:ascii="Times New Roman" w:hAnsi="Times New Roman" w:eastAsia="Times New Roman" w:cs="Times New Roman"/>
              </w:rPr>
              <w:t>Total</w:t>
            </w:r>
          </w:p>
        </w:tc>
        <w:tc>
          <w:tcPr>
            <w:tcW w:w="1415" w:type="dxa"/>
          </w:tcPr>
          <w:p>
            <w:pPr>
              <w:pStyle w:val="Normal"/>
            </w:pPr>
            <w:r>
              <w:rPr>
                <w:sz w:val="24"/>
                <w:szCs w:val="22"/>
                <w:lang w:val="en-US" w:eastAsia="en-US" w:bidi="ar-SA"/>
                <w:rFonts w:ascii="Times New Roman" w:hAnsi="Times New Roman" w:eastAsia="Times New Roman" w:cs="Times New Roman"/>
              </w:rPr>
              <w:t>120</w:t>
            </w:r>
          </w:p>
        </w:tc>
        <w:tc>
          <w:tcPr>
            <w:tcW w:w="1416" w:type="dxa"/>
          </w:tcPr>
          <w:p>
            <w:pPr>
              <w:pStyle w:val="Normal"/>
            </w:pPr>
            <w:r>
              <w:rPr>
                <w:sz w:val="24"/>
                <w:szCs w:val="22"/>
                <w:lang w:val="en-US" w:eastAsia="en-US" w:bidi="ar-SA"/>
                <w:rFonts w:ascii="Times New Roman" w:hAnsi="Times New Roman" w:eastAsia="Times New Roman" w:cs="Times New Roman"/>
              </w:rPr>
              <w:t>23 (19.2%)</w:t>
            </w:r>
          </w:p>
        </w:tc>
        <w:tc>
          <w:tcPr>
            <w:tcW w:w="1416" w:type="dxa"/>
          </w:tcPr>
          <w:p>
            <w:pPr>
              <w:pStyle w:val="Normal"/>
            </w:pPr>
            <w:r>
              <w:rPr>
                <w:sz w:val="24"/>
                <w:szCs w:val="22"/>
                <w:lang w:val="en-US" w:eastAsia="en-US" w:bidi="ar-SA"/>
                <w:rFonts w:ascii="Times New Roman" w:hAnsi="Times New Roman" w:eastAsia="Times New Roman" w:cs="Times New Roman"/>
              </w:rPr>
              <w:t>15</w:t>
            </w:r>
          </w:p>
        </w:tc>
        <w:tc>
          <w:tcPr>
            <w:tcW w:w="1416" w:type="dxa"/>
          </w:tcPr>
          <w:p>
            <w:pPr>
              <w:pStyle w:val="Normal"/>
            </w:pPr>
            <w:r>
              <w:rPr>
                <w:sz w:val="24"/>
                <w:szCs w:val="22"/>
                <w:lang w:val="en-US" w:eastAsia="en-US" w:bidi="ar-SA"/>
                <w:rFonts w:ascii="Times New Roman" w:hAnsi="Times New Roman" w:eastAsia="Times New Roman" w:cs="Times New Roman"/>
              </w:rPr>
              <w:t>8 (6.7%)</w:t>
            </w:r>
          </w:p>
        </w:tc>
        <w:tc>
          <w:tcPr>
            <w:tcW w:w="1416"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4"/>
                <w:szCs w:val="26"/>
                <w:lang w:val="en-US" w:eastAsia="en-US" w:bidi="ar-SA"/>
                <w:rFonts w:ascii="Times New Roman" w:hAnsi="Times New Roman" w:eastAsia="Times New Roman" w:cs="Times New Roman"/>
              </w:rPr>
              <w:t>Item</w:t>
            </w:r>
          </w:p>
        </w:tc>
        <w:tc>
          <w:tcPr>
            <w:tcW w:w="1699" w:type="dxa"/>
          </w:tcPr>
          <w:p>
            <w:pPr>
              <w:pStyle w:val="Normal"/>
            </w:pPr>
            <w:r>
              <w:rPr>
                <w:b/>
                <w:sz w:val="24"/>
                <w:szCs w:val="26"/>
                <w:lang w:val="en-US" w:eastAsia="en-US" w:bidi="ar-SA"/>
                <w:rFonts w:ascii="Times New Roman" w:hAnsi="Times New Roman" w:eastAsia="Times New Roman" w:cs="Times New Roman"/>
              </w:rPr>
              <w:t>Younger 25–44</w:t>
            </w:r>
          </w:p>
        </w:tc>
        <w:tc>
          <w:tcPr>
            <w:tcW w:w="1699" w:type="dxa"/>
          </w:tcPr>
          <w:p>
            <w:pPr>
              <w:pStyle w:val="Normal"/>
            </w:pPr>
            <w:r>
              <w:rPr>
                <w:b/>
                <w:sz w:val="24"/>
                <w:szCs w:val="26"/>
                <w:lang w:val="en-US" w:eastAsia="en-US" w:bidi="ar-SA"/>
                <w:rFonts w:ascii="Times New Roman" w:hAnsi="Times New Roman" w:eastAsia="Times New Roman" w:cs="Times New Roman"/>
              </w:rPr>
              <w:t>Middle 45–64</w:t>
            </w:r>
          </w:p>
        </w:tc>
        <w:tc>
          <w:tcPr>
            <w:tcW w:w="1698" w:type="dxa"/>
          </w:tcPr>
          <w:p>
            <w:pPr>
              <w:pStyle w:val="Normal"/>
            </w:pPr>
            <w:r>
              <w:rPr>
                <w:b/>
                <w:sz w:val="24"/>
                <w:szCs w:val="26"/>
                <w:lang w:val="en-US" w:eastAsia="en-US" w:bidi="ar-SA"/>
                <w:rFonts w:ascii="Times New Roman" w:hAnsi="Times New Roman" w:eastAsia="Times New Roman" w:cs="Times New Roman"/>
              </w:rPr>
              <w:t>Older 65–80</w:t>
            </w:r>
          </w:p>
        </w:tc>
        <w:tc>
          <w:tcPr>
            <w:tcW w:w="1698"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4"/>
                <w:szCs w:val="22"/>
                <w:lang w:val="en-US" w:eastAsia="en-US" w:bidi="ar-SA"/>
                <w:rFonts w:ascii="Times New Roman" w:hAnsi="Times New Roman" w:eastAsia="Times New Roman" w:cs="Times New Roman"/>
              </w:rPr>
              <w:t>—</w:t>
            </w:r>
          </w:p>
        </w:tc>
        <w:tc>
          <w:tcPr>
            <w:tcW w:w="1699" w:type="dxa"/>
          </w:tcPr>
          <w:p>
            <w:pPr>
              <w:pStyle w:val="Normal"/>
            </w:pPr>
            <w:r>
              <w:rPr>
                <w:sz w:val="24"/>
                <w:szCs w:val="22"/>
                <w:lang w:val="en-US" w:eastAsia="en-US" w:bidi="ar-SA"/>
                <w:rFonts w:ascii="Times New Roman" w:hAnsi="Times New Roman" w:eastAsia="Times New Roman" w:cs="Times New Roman"/>
              </w:rPr>
              <w:t>—</w:t>
            </w:r>
          </w:p>
        </w:tc>
        <w:tc>
          <w:tcPr>
            <w:tcW w:w="1698" w:type="dxa"/>
          </w:tcPr>
          <w:p>
            <w:pPr>
              <w:pStyle w:val="Normal"/>
            </w:pPr>
            <w:r>
              <w:rPr>
                <w:sz w:val="24"/>
                <w:szCs w:val="22"/>
                <w:lang w:val="en-US" w:eastAsia="en-US" w:bidi="ar-SA"/>
                <w:rFonts w:ascii="Times New Roman" w:hAnsi="Times New Roman" w:eastAsia="Times New Roman" w:cs="Times New Roman"/>
              </w:rPr>
              <w:t>—</w:t>
            </w:r>
          </w:p>
        </w:tc>
        <w:tc>
          <w:tcPr>
            <w:tcW w:w="1698"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4"/>
                <w:szCs w:val="26"/>
                <w:lang w:val="en-US" w:eastAsia="en-US" w:bidi="ar-SA"/>
                <w:rFonts w:ascii="Times New Roman" w:hAnsi="Times New Roman" w:eastAsia="Times New Roman" w:cs="Times New Roman"/>
              </w:rPr>
              <w:t>Model</w:t>
            </w:r>
          </w:p>
        </w:tc>
        <w:tc>
          <w:tcPr>
            <w:tcW w:w="2832" w:type="dxa"/>
          </w:tcPr>
          <w:p>
            <w:pPr>
              <w:pStyle w:val="Normal"/>
            </w:pPr>
            <w:r>
              <w:rPr>
                <w:b/>
                <w:sz w:val="24"/>
                <w:szCs w:val="26"/>
                <w:lang w:val="en-US" w:eastAsia="en-US" w:bidi="ar-SA"/>
                <w:rFonts w:ascii="Times New Roman" w:hAnsi="Times New Roman" w:eastAsia="Times New Roman" w:cs="Times New Roman"/>
              </w:rPr>
              <w:t>Predictors</w:t>
            </w:r>
          </w:p>
        </w:tc>
        <w:tc>
          <w:tcPr>
            <w:tcW w:w="2831"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M0 Demographic baseline</w:t>
            </w:r>
          </w:p>
        </w:tc>
        <w:tc>
          <w:tcPr>
            <w:tcW w:w="2832"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M1 STAM-only</w:t>
            </w:r>
          </w:p>
        </w:tc>
        <w:tc>
          <w:tcPr>
            <w:tcW w:w="2832"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4"/>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4"/>
                <w:szCs w:val="22"/>
                <w:lang w:val="en-US" w:eastAsia="en-US" w:bidi="ar-SA"/>
                <w:rFonts w:ascii="Times New Roman" w:hAnsi="Times New Roman" w:eastAsia="Times New Roman" w:cs="Times New Roman"/>
              </w:rPr>
              <w:t>Contrast or quantity</w:t>
            </w:r>
          </w:p>
        </w:tc>
        <w:tc>
          <w:tcPr>
            <w:tcW w:w="1092" w:type="dxa"/>
          </w:tcPr>
          <w:p>
            <w:pPr>
              <w:pStyle w:val="Normal"/>
            </w:pPr>
            <w:r>
              <w:rPr>
                <w:b/>
                <w:sz w:val="24"/>
                <w:szCs w:val="22"/>
                <w:lang w:val="en-US" w:eastAsia="en-US" w:bidi="ar-SA"/>
                <w:rFonts w:ascii="Times New Roman" w:hAnsi="Times New Roman" w:eastAsia="Times New Roman" w:cs="Times New Roman"/>
              </w:rPr>
              <w:t>Estimate</w:t>
            </w:r>
          </w:p>
        </w:tc>
        <w:tc>
          <w:tcPr>
            <w:tcW w:w="1280" w:type="dxa"/>
          </w:tcPr>
          <w:p>
            <w:pPr>
              <w:pStyle w:val="Normal"/>
            </w:pPr>
            <w:r>
              <w:rPr>
                <w:b/>
                <w:sz w:val="24"/>
                <w:szCs w:val="22"/>
                <w:lang w:val="en-US" w:eastAsia="en-US" w:bidi="ar-SA"/>
                <w:rFonts w:ascii="Times New Roman" w:hAnsi="Times New Roman" w:eastAsia="Times New Roman" w:cs="Times New Roman"/>
              </w:rPr>
              <w:t>95% CI</w:t>
            </w:r>
          </w:p>
        </w:tc>
        <w:tc>
          <w:tcPr>
            <w:tcW w:w="605" w:type="dxa"/>
          </w:tcPr>
          <w:p>
            <w:pPr>
              <w:pStyle w:val="Normal"/>
            </w:pPr>
            <w:r>
              <w:rPr>
                <w:b/>
                <w:sz w:val="24"/>
                <w:szCs w:val="22"/>
                <w:lang w:val="en-US" w:eastAsia="en-US" w:bidi="ar-SA"/>
                <w:rFonts w:ascii="Times New Roman" w:hAnsi="Times New Roman" w:eastAsia="Times New Roman" w:cs="Times New Roman"/>
              </w:rPr>
              <w:t>n</w:t>
            </w:r>
          </w:p>
        </w:tc>
        <w:tc>
          <w:tcPr>
            <w:tcW w:w="2090"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4"/>
                <w:szCs w:val="22"/>
                <w:lang w:val="en-US" w:eastAsia="en-US" w:bidi="ar-SA"/>
                <w:rFonts w:ascii="Times New Roman" w:hAnsi="Times New Roman" w:eastAsia="Times New Roman" w:cs="Times New Roman"/>
              </w:rPr>
              <w:t>Principle</w:t>
            </w:r>
          </w:p>
        </w:tc>
        <w:tc>
          <w:tcPr>
            <w:tcW w:w="2831" w:type="dxa"/>
          </w:tcPr>
          <w:p>
            <w:pPr>
              <w:pStyle w:val="Normal"/>
            </w:pPr>
            <w:r>
              <w:rPr>
                <w:b/>
                <w:sz w:val="24"/>
                <w:szCs w:val="22"/>
                <w:lang w:val="en-US" w:eastAsia="en-US" w:bidi="ar-SA"/>
                <w:rFonts w:ascii="Times New Roman" w:hAnsi="Times New Roman" w:eastAsia="Times New Roman" w:cs="Times New Roman"/>
              </w:rPr>
              <w:t>What it does</w:t>
            </w:r>
          </w:p>
        </w:tc>
        <w:tc>
          <w:tcPr>
            <w:tcW w:w="2831"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4"/>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4"/>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4"/>
                <w:szCs w:val="22"/>
                <w:lang w:val="en-US" w:eastAsia="en-US" w:bidi="ar-SA"/>
                <w:rFonts w:ascii="Times New Roman" w:hAnsi="Times New Roman" w:eastAsia="Times New Roman" w:cs="Times New Roman"/>
              </w:rPr>
              <w:t>P3 Adaptive Calibration</w:t>
            </w:r>
          </w:p>
        </w:tc>
        <w:tc>
          <w:tcPr>
            <w:tcW w:w="2831"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Pr>
                <w:b/>
              </w:rPr>
              <w:t>Period</w:t>
            </w:r>
          </w:p>
        </w:tc>
        <w:tc>
          <w:tcPr>
            <w:tcW w:type="dxa" w:w="1701"/>
          </w:tcPr>
          <w:p>
            <w:r>
              <w:rPr>
                <w:b/>
              </w:rPr>
              <w:t>Activity</w:t>
            </w:r>
          </w:p>
        </w:tc>
        <w:tc>
          <w:tcPr>
            <w:tcW w:type="dxa" w:w="1701"/>
          </w:tcPr>
          <w:p>
            <w:r>
              <w:rPr>
                <w:b/>
              </w:rPr>
              <w:t>Knowledge position going in</w:t>
            </w:r>
          </w:p>
        </w:tc>
        <w:tc>
          <w:tcPr>
            <w:tcW w:type="dxa" w:w="1701"/>
          </w:tcPr>
          <w:p>
            <w:r>
              <w:rPr>
                <w:b/>
              </w:rPr>
              <w:t>What the activity produced</w:t>
            </w:r>
          </w:p>
        </w:tc>
        <w:tc>
          <w:tcPr>
            <w:tcW w:type="dxa" w:w="1701"/>
          </w:tcPr>
          <w:p>
            <w:r>
              <w:rPr>
                <w:b/>
              </w:rPr>
              <w:t>What was revised or nullified</w:t>
            </w:r>
          </w:p>
        </w:tc>
      </w:tr>
      <w:tr>
        <w:tc>
          <w:tcPr>
            <w:tcW w:type="dxa" w:w="1701"/>
          </w:tcPr>
          <w:p>
            <w:r>
              <w:t>2023</w:t>
            </w:r>
          </w:p>
        </w:tc>
        <w:tc>
          <w:tcPr>
            <w:tcW w:type="dxa" w:w="1701"/>
          </w:tcPr>
          <w:p>
            <w:r>
              <w:t>Site observation at the operating facility</w:t>
            </w:r>
          </w:p>
        </w:tc>
        <w:tc>
          <w:tcPr>
            <w:tcW w:type="dxa" w:w="1701"/>
          </w:tcPr>
          <w:p>
            <w:r>
              <w:t>Industry experience of FRA operations; abandonment literature</w:t>
            </w:r>
          </w:p>
        </w:tc>
        <w:tc>
          <w:tcPr>
            <w:tcW w:type="dxa" w:w="1701"/>
          </w:tcPr>
          <w:p>
            <w:r>
              <w:t>The FIDS conjecture: device-associated discomfort as a candidate driver of non-return</w:t>
            </w:r>
          </w:p>
        </w:tc>
        <w:tc>
          <w:tcPr>
            <w:tcW w:type="dxa" w:w="1701"/>
          </w:tcPr>
          <w:p>
            <w:r>
              <w:t>- (starting conjecture recorded)</w:t>
            </w:r>
          </w:p>
        </w:tc>
      </w:tr>
      <w:tr>
        <w:tc>
          <w:tcPr>
            <w:tcW w:type="dxa" w:w="1701"/>
          </w:tcPr>
          <w:p>
            <w:r>
              <w:t>July-August 2024</w:t>
            </w:r>
          </w:p>
        </w:tc>
        <w:tc>
          <w:tcPr>
            <w:tcW w:type="dxa" w:w="1701"/>
          </w:tcPr>
          <w:p>
            <w:r>
              <w:t>Stage 1 retrospective survey (N=200 of 280)</w:t>
            </w:r>
          </w:p>
        </w:tc>
        <w:tc>
          <w:tcPr>
            <w:tcW w:type="dxa" w:w="1701"/>
          </w:tcPr>
          <w:p>
            <w:r>
              <w:t>FIDS conjecture</w:t>
            </w:r>
          </w:p>
        </w:tc>
        <w:tc>
          <w:tcPr>
            <w:tcW w:type="dxa" w:w="1701"/>
          </w:tcPr>
          <w:p>
            <w:r>
              <w:t>The utilisation/non-return problem quantified; adverse device experience concentrated among prior users</w:t>
            </w:r>
          </w:p>
        </w:tc>
        <w:tc>
          <w:tcPr>
            <w:tcW w:type="dxa" w:w="1701"/>
          </w:tcPr>
          <w:p>
            <w:r>
              <w:t>Simple non-exposure account nullified: non-return was driven by prior users, not by residents who had never encountered the device</w:t>
            </w:r>
          </w:p>
        </w:tc>
      </w:tr>
      <w:tr>
        <w:tc>
          <w:tcPr>
            <w:tcW w:type="dxa" w:w="1701"/>
          </w:tcPr>
          <w:p>
            <w:r>
              <w:t>2024</w:t>
            </w:r>
          </w:p>
        </w:tc>
        <w:tc>
          <w:tcPr>
            <w:tcW w:type="dxa" w:w="1701"/>
          </w:tcPr>
          <w:p>
            <w:r>
              <w:t>Game design and platform validation</w:t>
            </w:r>
          </w:p>
        </w:tc>
        <w:tc>
          <w:tcPr>
            <w:tcW w:type="dxa" w:w="1701"/>
          </w:tcPr>
          <w:p>
            <w:r>
              <w:t>Gamification and dynamic-difficulty literature</w:t>
            </w:r>
          </w:p>
        </w:tc>
        <w:tc>
          <w:tcPr>
            <w:tcW w:type="dxa" w:w="1701"/>
          </w:tcPr>
          <w:p>
            <w:r>
              <w:t>The dual-purpose AI-assisted skiing game as the programme's instrument</w:t>
            </w:r>
          </w:p>
        </w:tc>
        <w:tc>
          <w:tcPr>
            <w:tcW w:type="dxa" w:w="1701"/>
          </w:tcPr>
          <w:p>
            <w:r>
              <w:t>-</w:t>
            </w:r>
          </w:p>
        </w:tc>
      </w:tr>
      <w:tr>
        <w:tc>
          <w:tcPr>
            <w:tcW w:type="dxa" w:w="1701"/>
          </w:tcPr>
          <w:p>
            <w:r>
              <w:rPr>
                <w:highlight w:val="yellow"/>
              </w:rPr>
              <w:t>[AUTHOR INPUT NEEDED: exact dates]</w:t>
            </w:r>
          </w:p>
        </w:tc>
        <w:tc>
          <w:tcPr>
            <w:tcW w:type="dxa" w:w="1701"/>
          </w:tcPr>
          <w:p>
            <w:r>
              <w:t>Stage 2 eight-week facility deployment (N=30)</w:t>
            </w:r>
          </w:p>
        </w:tc>
        <w:tc>
          <w:tcPr>
            <w:tcW w:type="dxa" w:w="1701"/>
          </w:tcPr>
          <w:p>
            <w:r>
              <w:t>Expectation that gamified delivery would sustain engagement</w:t>
            </w:r>
          </w:p>
        </w:tc>
        <w:tc>
          <w:tcPr>
            <w:tcW w:type="dxa" w:w="1701"/>
          </w:tcPr>
          <w:p>
            <w:r>
              <w:t>Seventy per cent disengagement at or before three cycles; the objective-score-improvement/non-return paradox</w:t>
            </w:r>
          </w:p>
        </w:tc>
        <w:tc>
          <w:tcPr>
            <w:tcW w:type="dxa" w:w="1701"/>
          </w:tcPr>
          <w:p>
            <w:r>
              <w:t>Competence account nullified (scores improved yet players did not return); FIDS alone could no longer carry the account - the transition to FIAS, specified in Chapter 5, is the pivotal move of the research journey</w:t>
            </w:r>
          </w:p>
        </w:tc>
      </w:tr>
      <w:tr>
        <w:tc>
          <w:tcPr>
            <w:tcW w:type="dxa" w:w="1701"/>
          </w:tcPr>
          <w:p>
            <w:r>
              <w:t>March-April 2026</w:t>
            </w:r>
          </w:p>
        </w:tc>
        <w:tc>
          <w:tcPr>
            <w:tcW w:type="dxa" w:w="1701"/>
          </w:tcPr>
          <w:p>
            <w:r>
              <w:t>Stage 3 remote decoupled deployment (register N=120)</w:t>
            </w:r>
          </w:p>
        </w:tc>
        <w:tc>
          <w:tcPr>
            <w:tcW w:type="dxa" w:w="1701"/>
          </w:tcPr>
          <w:p>
            <w:r>
              <w:t>FIAS as the candidate account; frame-sensitive and dispositional readings as rivals</w:t>
            </w:r>
          </w:p>
        </w:tc>
        <w:tc>
          <w:tcPr>
            <w:tcW w:type="dxa" w:w="1701"/>
          </w:tcPr>
          <w:p>
            <w:r>
              <w:t>A substantial behavioural shift once the assessment frame was removed; the commitment gap</w:t>
            </w:r>
          </w:p>
        </w:tc>
        <w:tc>
          <w:tcPr>
            <w:tcW w:type="dxa" w:w="1701"/>
          </w:tcPr>
          <w:p>
            <w:r>
              <w:t>The dispositional account (H0) could not accommodate the between-cohort shift; frame-sensitivity retained as the calibrated reading</w:t>
            </w:r>
          </w:p>
        </w:tc>
      </w:tr>
      <w:tr>
        <w:tc>
          <w:tcPr>
            <w:tcW w:type="dxa" w:w="1701"/>
          </w:tcPr>
          <w:p>
            <w:r>
              <w:t>March-August 2026</w:t>
            </w:r>
          </w:p>
        </w:tc>
        <w:tc>
          <w:tcPr>
            <w:tcW w:type="dxa" w:w="1701"/>
          </w:tcPr>
          <w:p>
            <w:r>
              <w:t>Expert consultation panel (four consultations with follow-ups)</w:t>
            </w:r>
          </w:p>
        </w:tc>
        <w:tc>
          <w:tcPr>
            <w:tcW w:type="dxa" w:w="1701"/>
          </w:tcPr>
          <w:p>
            <w:r>
              <w:t>Stage 1-3 findings and the FIDS-to-FIAS transition</w:t>
            </w:r>
          </w:p>
        </w:tc>
        <w:tc>
          <w:tcPr>
            <w:tcW w:type="dxa" w:w="1701"/>
          </w:tcPr>
          <w:p>
            <w:r>
              <w:t>Clinical corroboration of the abandonment window, verdict attribution and reward economics; the build judged suitable for FRA practice</w:t>
            </w:r>
          </w:p>
        </w:tc>
        <w:tc>
          <w:tcPr>
            <w:tcW w:type="dxa" w:w="1701"/>
          </w:tcPr>
          <w:p>
            <w:r>
              <w:t>Technology-difficulty as the primary barrier was challenged from practice; coaching-at-scale was revised on cost grounds (social cost and therapist scarcity)</w:t>
            </w:r>
          </w:p>
        </w:tc>
      </w:tr>
      <w:tr>
        <w:tc>
          <w:tcPr>
            <w:tcW w:type="dxa" w:w="1701"/>
          </w:tcPr>
          <w:p>
            <w:r>
              <w:t>August 2026</w:t>
            </w:r>
          </w:p>
        </w:tc>
        <w:tc>
          <w:tcPr>
            <w:tcW w:type="dxa" w:w="1701"/>
          </w:tcPr>
          <w:p>
            <w:r>
              <w:t>Ethics approval HSEARS20260805008</w:t>
            </w:r>
          </w:p>
        </w:tc>
        <w:tc>
          <w:tcPr>
            <w:tcW w:type="dxa" w:w="1701"/>
          </w:tcPr>
          <w:p>
            <w:r>
              <w:t>-</w:t>
            </w:r>
          </w:p>
        </w:tc>
        <w:tc>
          <w:tcPr>
            <w:tcW w:type="dxa" w:w="1701"/>
          </w:tcPr>
          <w:p>
            <w:r>
              <w:t>Formal approval covering the programme as conducted and the forward stage</w:t>
            </w:r>
          </w:p>
        </w:tc>
        <w:tc>
          <w:tcPr>
            <w:tcW w:type="dxa" w:w="1701"/>
          </w:tcPr>
          <w:p>
            <w:r>
              <w:t>-</w:t>
            </w:r>
          </w:p>
        </w:tc>
      </w:tr>
      <w:tr>
        <w:tc>
          <w:tcPr>
            <w:tcW w:type="dxa" w:w="1701"/>
          </w:tcPr>
          <w:p>
            <w:r>
              <w:rPr>
                <w:highlight w:val="yellow"/>
              </w:rPr>
              <w:t>August-October 2026 [AUTHOR INPUT NEEDED: window dates]</w:t>
            </w:r>
          </w:p>
        </w:tc>
        <w:tc>
          <w:tcPr>
            <w:tcW w:type="dxa" w:w="1701"/>
          </w:tcPr>
          <w:p>
            <w:r>
              <w:t>Stage 3B pre-registered 2x2 field experiment</w:t>
            </w:r>
          </w:p>
        </w:tc>
        <w:tc>
          <w:tcPr>
            <w:tcW w:type="dxa" w:w="1701"/>
          </w:tcPr>
          <w:p>
            <w:r>
              <w:t>The adaptive-learning framework; the errorless-versus-graceful-failure question open</w:t>
            </w:r>
          </w:p>
        </w:tc>
        <w:tc>
          <w:tcPr>
            <w:tcW w:type="dxa" w:w="1701"/>
          </w:tcPr>
          <w:p>
            <w:r>
              <w:rPr>
                <w:highlight w:val="yellow"/>
              </w:rPr>
              <w:t>[TO BE REPORTED when the Stage 3B window closes]</w:t>
            </w:r>
          </w:p>
        </w:tc>
        <w:tc>
          <w:tcPr>
            <w:tcW w:type="dxa" w:w="1701"/>
          </w:tcPr>
          <w:p>
            <w:r>
              <w:rPr>
                <w:highlight w:val="yellow"/>
              </w:rPr>
              <w:t>[OPEN - H-3B under test; the design allows the adaptive-arm advantage itself to be nullified]</w:t>
            </w:r>
          </w:p>
        </w:tc>
      </w:tr>
      <w:tr>
        <w:tc>
          <w:tcPr>
            <w:tcW w:type="dxa" w:w="1701"/>
          </w:tcPr>
          <w:p>
            <w:r>
              <w:t>October 2026</w:t>
            </w:r>
          </w:p>
        </w:tc>
        <w:tc>
          <w:tcPr>
            <w:tcW w:type="dxa" w:w="1701"/>
          </w:tcPr>
          <w:p>
            <w:r>
              <w:t>Programme close and thesis completion</w:t>
            </w:r>
          </w:p>
        </w:tc>
        <w:tc>
          <w:tcPr>
            <w:tcW w:type="dxa" w:w="1701"/>
          </w:tcPr>
          <w:p>
            <w:r>
              <w:t>-</w:t>
            </w:r>
          </w:p>
        </w:tc>
        <w:tc>
          <w:tcPr>
            <w:tcW w:type="dxa" w:w="1701"/>
          </w:tcPr>
          <w:p>
            <w:r>
              <w:t>The calibrated evidential chain: observed, interpreted, demonstrated in part, hypothesised</w:t>
            </w:r>
          </w:p>
        </w:tc>
        <w:tc>
          <w:tcPr>
            <w:tcW w:type="dxa" w:w="1701"/>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