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r>
        <w:t xml:space="preserve"> CHANNEL PLAN (8 Aug 2026): (i) university business-school network (100+ adults 40+) — primary source for the 45-64 band; SAFEGUARD: any invitation reaching current students states that participation is voluntary, anonymous and unrelated to any course, assessment or relationship with the researcher; (ii) elderly house / day community centre — target 20-30 in the 65-80 band via on-site sessions; REQUIREMENTS: centre manager's recorded agreement (gatekeeper permission) PLUS individual in-build consent; setting logged per channel (community-centre vs remote) and reported as a context covariate; facilitators may assist with the device but never with gameplay; (iii) existing distributor chains + personal network for the 25-44 band (15-25). Revised expected N: 80-120, making the two-arm design (Option A) well powered.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r>
        <w:t xml:space="preserve"> AGE RESOLUTION DECISION (8 Aug 2026): age is collected as the BAND ONLY (25-44 / 45-64 / 65-80) — matching the approved application's data-minimisation description, preserving anonymity in small identifiable communities, and keeping band-level comparability with Stage 3. Exact age is NOT collected.</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Primary (behavioural): voluntary sessions played per participant; return after a below-personal-best run (the FIAS-critical behaviour). Secondary: D1, D2, F1, F2; completion of the five-attempt structure; band differences. Analysis: descriptive proportions with Wilson CIs; arm comparison (Option A) by proportion difference; band gradients compared with Stage 3's pattern as an indicative, build-caveated cross-check — NOT as replication. All outcomes reported regardless of direction.</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