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(returned dropouts counted as retained), with 15 of 23 initial dropouts returning voluntarily.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Claim</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Operational)</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The deployed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Observed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evidence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highlight w:val="yellow"/>
        </w:rPr>
      </w:r>
      <w:r/>
      <w:r>
        <w:rPr>
          <w:highlight w:val="yellow"/>
        </w:rPr>
      </w:r>
      <w:r/>
      <w:r>
        <w:rPr>
          <w:highlight w:val="yellow"/>
        </w:rPr>
      </w:r>
      <w:r/>
      <w:r>
        <w:rPr>
          <w:highlight w:val="yellow"/>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highlight w:val="yellow"/>
        </w:rPr>
      </w:r>
      <w:r/>
      <w:r>
        <w:rPr>
          <w:highlight w:val="yellow"/>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can close any gap between what participants endorse and what they sustain; that question is examined from Chapter 6 onward. Its incremental effectiveness is a subject for the next controlled cycle.</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game and its instructions carried no clinical or fall-risk terminology and delivered no participant-facing clinical output; the activity was presented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the driver that can make returning worthwhile and eventually carry the clinical purpose back into the experience.</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the figures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while Whether the implemented design realised that expectation is examined prospectively in Chapter 5, including cases with favourable recorded score change. The initial expectation was therefore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prospective component test (§8.8)</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and §8.8 outlines its prospective evaluation.</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demonstrated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prospective test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prospective test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prospective evaluation protocol</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Complete framework not yet evaluated; specified components reserved for prospective testing</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pre-registered 2x2 field experiment</w:t>
            </w:r>
          </w:p>
        </w:tc>
        <w:tc>
          <w:tcPr>
            <w:tcW w:type="dxa" w:w="2584"/>
          </w:tcPr>
          <w:p>
            <w:r>
              <w:rPr/>
              <w:t>August–October 2026 (planned window)</w:t>
            </w:r>
          </w:p>
        </w:tc>
        <w:tc>
          <w:tcPr>
            <w:tcW w:type="dxa" w:w="1994"/>
          </w:tcPr>
          <w:p>
            <w:r>
              <w:t>§8.8</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evidence activities in calendar order, July 2024 – October 2026, with the chapter that reports each.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approved by the PolyU Human Subjects Ethics Sub-Committee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 a period that covers all of the programme's fieldwork, including the planned Stage 3B window; the approval memo is archived in the ethics record); the application described the procedures of all three stages and the expert consultations as conducted, and the approval memo is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procedures as conducted and described in this section.</w:t>
      </w:r>
    </w:p>
    <w:p>
      <w:pPr>
        <w:jc w:val="both"/>
      </w:pPr>
      <w:r>
        <w:t>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satisfaction and symptom entries in the Stage-2 dataset was therefore performed by the researcher when compiling the field notes.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satisfaction and symptom variables are accordingly therapist-mediated, researcher-compiled observational data, gathered under the facility's routine care relationship and the gatekeeper arrangement described above - not responses to a self-administered research instrument - and §5.5 carries the corresponding measurement caution.</w:t>
      </w:r>
    </w:p>
    <w:p>
      <w:pPr>
        <w:jc w:val="both"/>
      </w:pPr>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specified in §8.8.</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component study in §8.8 can test its specified adaptation and feedback components, while the complete framework and the causal framing account require their own evaluations. No hypothesis in the completed Stages 1–3 was publicly preregistered;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prescription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pre-registered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highlight w:val="yellow"/>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highlight w:val="yellow"/>
        </w:rPr>
      </w:r>
      <w:r/>
      <w:r>
        <w:rPr/>
      </w:r>
      <w:r/>
    </w:p>
    <w:p>
      <w:pPr>
        <w:jc w:val="both"/>
      </w:pPr>
      <w:r>
        <w:t xml:space="preserve">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satisfaction-engagement association reported below (Fisher's exact p = 0.013) is read as an observed association in compiled field data, not as an instrumented self-report result; the confirmatory study replaces this pathway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Self-reported symptom improvement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reported any improvement and none returned — the separate margins underlying the recorded-score–engagement discrepancy, subject to the direction caveat above. These margins do not identify how many participants simultaneously recorded a score increase and reported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cause-and-consequence chain from which the FIAS construct was subsequently built.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and that visible thinning of the group contributed to further abandonment.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Failure events outweighing recorded gains in the participants' own weighing is the loss-aversion signature the FIAS account formalises (§5.7). Under the coupled deployment each in-game failure carried the assessment frame's verdict meaning (§5.2A) - the attachment Stage 3 examines by removing it. And the visible-dropout effect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the sustained side of the visible-participation channel taken up in §8.6B. Four of the nine criticised the game's visuals as weak or childish even while rating the experience highly, an echo of the infantilisation risk raised in the expert consultations; and one record contains an internal contradiction (usefulness disclaimed in one item, endorsed in another), retained as recorded.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e-mails disclosed the doctoral research context, including the programme's fall-risk origin, while presenting the activity itself as a purely-fun coordination game; the game and its instructions carried no medical or fall-prevention language and delivered no clinical output. The distributor-tier invitations are archived (Appendix G, item G.5).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Observed return after initial dropout by age band in Stage 3, including 62.5% in the 65–80 band.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specifies a comparison; it does not report one. The comparison has not been executed, and the quantitative advantage of the FIAS-augmented specification is therefore hypothesised, not demonstrated. This section records a prospective analysis architecture;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offered as jointly covering the appraisal chain as this programme has mapped it - a design claim about coverage of the observed chain, not a claim of empirical exhaustiveness or unique necessity - with the principles individually non-redundant,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Their reliability, tolerability and sensitivity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proposed touch-input component study to a programme that has used standing whole-body input and remote seated hand input. Its adaptive-versus-static and zero-failure-versus-failure-possible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discriminating point: the field notes record players who acknowledged the system's benefits and were recording index gains, yet gave up after recurring in-game failures across their second and third cycles - a profile that boredom, limited-relevance and competing-priority accounts do not naturally produce.</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visible thinning contributed to further abandonment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confirmatory programme will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is the response to that limitation — retrospectively motivated by the Stage-3A result, prospectively specified before recruitment (the protocol and the pre-specified analysis hierarchy are repository-dated 8–9 August 2026). It is a 2×2 component experiment crossing adaptive against static presentation with zero-failure against failure-possible modes in a new, remotely recruited cohort. Data collection commenced in August 2026; the deployed procedures and returned records are being checked against the Stage-3B protocol before final classification and analysis. Its results are not part of the evidence presented in this thesis. The design can test the specified component contrasts; any interaction claim requires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proposed richer economy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highlight w:val="yellow"/>
        </w:rPr>
        <w:t>[AUTHOR INPUT NEEDED - Stage 3B results: this passage is completed when the collection window closes; report all pre-specified outcomes regardless of direction.]</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discoveries.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(window open; collection commenced August 2026)</w:t>
            </w:r>
          </w:p>
        </w:tc>
        <w:tc>
          <w:tcPr>
            <w:tcW w:type="dxa" w:w="2384"/>
          </w:tcPr>
          <w:p>
            <w:r>
              <w:t>Stage 3B pre-specified 2x2 field experiment</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first returned record received 15 August 2026; returns are being checked against the protocol before classification. [Results TO BE REPORTED when the window closes]</w:t>
            </w:r>
          </w:p>
        </w:tc>
        <w:tc>
          <w:tcPr>
            <w:tcW w:type="dxa" w:w="3596"/>
          </w:tcPr>
          <w:p>
            <w:r>
              <w:rPr>
                <w:highlight w:val="yellow"/>
              </w:rPr>
              <w:t>[OPEN — planned tests of adaptive/static and failure-presentation components;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candidate explanations and proposed engineering response</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Yellow cells await author input or the close of the Stage 3B window.</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 [AUTHOR INPUT NEEDED - supply the Stage-2 interview/field records for evidence/, so this stance can be anchored to its documented source and reconciled with the Chapter-5 description of the Stage-2 qualitative record.]</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 design (§8.8); separate framing comparison proposed</w:t>
            </w:r>
          </w:p>
        </w:tc>
        <w:tc>
          <w:tcPr>
            <w:tcW w:w="1796" w:type="dxa"/>
          </w:tcPr>
          <w:p>
            <w:r>
              <w:t>Proposed; complete framework and progress specification not yet evaluated</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future evaluation should compare them with decoupling alone and with simpler support alternatives.</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concerns component testing;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w:t>
      </w:r>
    </w:p>
    <w:p>
      <w:pPr>
        <w:jc w:val="both"/>
      </w:pPr>
      <w:r>
        <w:t xml:space="preserve">G.0A Build-lineage matrix. </w:t>
      </w:r>
      <w:r>
        <w:rPr>
          <w:highlight w:val="yellow"/>
        </w:rPr>
        <w:t>[AUTHOR INPUT NEEDED: one version-controlled row per build generation - 2024 control demonstration, deployed Stage-2 build, Stage-3 HTML port, v2.x successor builds, v3.x Stage-3B fleet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w:t>
      </w:r>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Photographs of the Guangzhou Stage-2 deployment (consented).</w:t>
      </w:r>
    </w:p>
    <w:p>
      <w:pPr>
        <w:jc w:val="both"/>
      </w:pPr>
      <w:r>
        <w:t>G.5  The Stage-3 distribution and return e-mail record (de-identified index of dates, channels and returned files).</w:t>
      </w:r>
    </w:p>
    <w:p>
      <w:pPr>
        <w:jc w:val="both"/>
      </w:pPr>
      <w:r>
        <w:t>G.6  Screenshots of the skiing game at each difficulty level (1–5).</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1"/>
        <w:pageBreakBefore/>
      </w:pPr>
      <w:r>
        <w:rPr>
          <w:color w:val="000000"/>
        </w:rPr>
        <w:t>Author completion checklist</w:t>
      </w:r>
    </w:p>
    <w:p>
      <w:r>
        <w:rPr>
          <w:highlight w:val="yellow"/>
        </w:rPr>
        <w:t>V41 - 14 September 2026 (V40 closed 10 September 2026). This pass merges the author's 14 September edits, embeds the Stage-3B interim status in §8.8 and Table 9.1 (designed after Stage 3A; prospectively specified 8–9 August 2026; collection commenced August 2026; returns under verification), and adds the Stage-3A designation note in §6.1. The examination-driven revision cycle is complete.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Stage 3B cells that close when the August-October 2026 window ends (s8.8, Table 9.1); and (e) the Appendix G manifest and build-lineage stubs (G.0, G.0A), which complete as the archive records land. External gates tracked in the working file PENDING_ITEMS.md, outside this document: the SS-293 camera-ready consent check, the supervisor's report and the Stage-3B protocol sign-off.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V39 revised thesis with retained author completion items.</dc:description>
  <cp:lastModifiedBy>TAM, Sidney [Student]</cp:lastModifiedBy>
  <cp:revision>6</cp:revision>
  <cp:lastPrinted>2026-07-11T05:43:00Z</cp:lastPrinted>
  <dcterms:created xsi:type="dcterms:W3CDTF">2026-07-03T09:50:00Z</dcterms:created>
  <dcterms:modified xsi:type="dcterms:W3CDTF">2026-07-11T10:34:00Z</dcterms:modified>
  <cp:category/>
  <cp:version>39</cp:version>
</cp:coreProperties>
</file>