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pStyle w:val="TOC1"/>
      </w:pPr>
      <w:r>
        <w:rPr>
          <w:szCs w:val="22"/>
          <w:lang w:val="en-US" w:eastAsia="en-US" w:bidi="ar-SA"/>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tblHeader/>
        </w:trPr>
        <w:tc>
          <w:tcPr>
            <w:tcW w:w="2324" w:type="dxa"/>
          </w:tcPr>
          <w:p>
            <w:pPr>
              <w:pStyle w:val="Normal"/>
            </w:pPr>
            <w:r>
              <w:rPr>
                <w:b/>
                <w:sz w:val="20"/>
                <w:szCs w:val="22"/>
                <w:lang w:val="en-US" w:eastAsia="en-US" w:bidi="ar-SA"/>
                <w:rFonts w:ascii="Times New Roman" w:hAnsi="Times New Roman" w:eastAsia="Times New Roman" w:cs="Times New Roman"/>
              </w:rPr>
              <w:t>AI</w:t>
            </w:r>
          </w:p>
        </w:tc>
        <w:tc>
          <w:tcPr>
            <w:tcW w:w="6181"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jc w:val="both"/>
      </w:pPr>
      <w:r>
        <w:t xml:space="preserve">The station's own history sharpens the puzzle. The FRA had been installed roughly twelve years before this research began </w:t>
      </w:r>
      <w:r>
        <w:rPr>
          <w:highlight w:val="yellow"/>
        </w:rPr>
        <w:t>[AUTHOR INPUT NEEDED: exact installation year]</w:t>
      </w:r>
      <w:r>
        <w:t xml:space="preserve">, and its decade of near-silence was not what its manufacturer had reason to expect: in InBody's Korean home market, the same platform family reportedly achieved substantially higher utilisation </w:t>
      </w:r>
      <w:r>
        <w:rPr>
          <w:highlight w:val="yellow"/>
        </w:rPr>
        <w:t>[AUTHOR INPUT NEEDED: citation for the Korean utilisation comparison]</w:t>
      </w:r>
      <w:r>
        <w:t>. Same instrument, same clinical purpose, different fate - the gap between the two markets is itself a datum, and the cross-cultural reference point is taken up in Chapter 4 (§4.7).</w:t>
      </w:r>
    </w:p>
    <w:p>
      <w:pPr>
        <w:jc w:val="both"/>
      </w:pPr>
      <w:r>
        <w:t xml:space="preserve">The evaluation that became this thesis began in late 2023, when the author - an industrial practitioner responsible for exactly such equipment - started to examine the station's silence systematically. The first working direction came from the author's supervisor: gamification might help. The direction was credible on the evidence then available - the literature reviewed in Chapter 2 documents game-based engagement effects for older adults - and games were duly developed for the platform. Yet the industrial signal was already mixed: the manufacturer's own experience with gamified modes on the FRA line reportedly showed a similar pattern of early dropout </w:t>
      </w:r>
      <w:r>
        <w:rPr>
          <w:highlight w:val="yellow"/>
        </w:rPr>
        <w:t>[AUTHOR INPUT NEEDED: citation for InBody's gamified-FRA experience]</w:t>
      </w:r>
      <w:r>
        <w:t>. Adding a game, in other words, was known not to be a guaranteed cure before this programme deployed one - which is precisely what made the question worth asking properly. If the station is free, clinically beneficial, accessible and now fun, and people still leave after their first failure, then what, exactly, is doing the leaving? The working conjecture formed at this point - failure-induced dropout, stated as the pre-research hypothesis in §1.5 - and what became of it is reported stage by stage in the chapters that follow.</w:t>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trPr>
        <w:tc>
          <w:tcPr>
            <w:tcW w:type="dxa" w:w="2039"/>
          </w:tcPr>
          <w:p>
            <w:r>
              <w:t>Observation class H0 cannot accommodate</w:t>
            </w:r>
          </w:p>
        </w:tc>
        <w:tc>
          <w:tcPr>
            <w:tcW w:type="dxa" w:w="1850"/>
          </w:tcPr>
          <w:p>
            <w:pPr>
              <w:pStyle w:val="Normal"/>
            </w:pPr>
            <w:r>
              <w:rPr>
                <w:b/>
                <w:sz w:val="20"/>
                <w:szCs w:val="22"/>
                <w:lang w:val="en-US" w:eastAsia="en-US" w:bidi="ar-SA"/>
                <w:rFonts w:ascii="Times New Roman" w:hAnsi="Times New Roman" w:eastAsia="Times New Roman" w:cs="Times New Roman"/>
              </w:rPr>
              <w:t>Behavioural theory</w:t>
            </w:r>
          </w:p>
        </w:tc>
        <w:tc>
          <w:tcPr>
            <w:tcW w:type="dxa" w:w="2183"/>
          </w:tcPr>
          <w:p>
            <w:r>
              <w:t>Construct contributed to the account</w:t>
            </w:r>
          </w:p>
        </w:tc>
        <w:tc>
          <w:tcPr>
            <w:tcW w:type="dxa" w:w="2433"/>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039"/>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039"/>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433"/>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039"/>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433"/>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039"/>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83"/>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433"/>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83"/>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433"/>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trPr>
        <w:tc>
          <w:tcPr>
            <w:tcW w:w="1737" w:type="dxa"/>
          </w:tcPr>
          <w:p>
            <w:r>
              <w:rPr>
                <w:b/>
              </w:rPr>
              <w:t>Literature stage</w:t>
            </w:r>
          </w:p>
        </w:tc>
        <w:tc>
          <w:tcPr>
            <w:tcW w:w="2905" w:type="dxa"/>
          </w:tcPr>
          <w:p>
            <w:r>
              <w:rPr>
                <w:b/>
              </w:rPr>
              <w:t>Core sources</w:t>
            </w:r>
          </w:p>
        </w:tc>
        <w:tc>
          <w:tcPr>
            <w:tcW w:w="3196" w:type="dxa"/>
          </w:tcPr>
          <w:p>
            <w:r>
              <w:rPr>
                <w:b/>
              </w:rPr>
              <w:t>What it establishes</w:t>
            </w:r>
          </w:p>
        </w:tc>
        <w:tc>
          <w:tcPr>
            <w:tcW w:w="2827" w:type="dxa"/>
          </w:tcPr>
          <w:p>
            <w:r>
              <w:rPr>
                <w:b/>
              </w:rPr>
              <w:t>The question it leaves open</w:t>
            </w:r>
          </w:p>
        </w:tc>
        <w:tc>
          <w:tcPr>
            <w:tcW w:w="2772" w:type="dxa"/>
          </w:tcPr>
          <w:p>
            <w:r>
              <w:rPr>
                <w:b/>
              </w:rPr>
              <w:t>Where the programme takes it up</w:t>
            </w:r>
          </w:p>
        </w:tc>
      </w:tr>
      <w:tr>
        <w:tc>
          <w:tcPr>
            <w:tcW w:w="1737" w:type="dxa"/>
          </w:tcPr>
          <w:p>
            <w:r>
              <w:t>One — Technology acceptance lineage</w:t>
            </w:r>
          </w:p>
        </w:tc>
        <w:tc>
          <w:tcPr>
            <w:tcW w:w="2905" w:type="dxa"/>
          </w:tcPr>
          <w:p>
            <w:r>
              <w:t>Davis (1989); TAM2/TAM3/UTAUT; Chen &amp; Chan (2014)</w:t>
            </w:r>
          </w:p>
        </w:tc>
        <w:tc>
          <w:tcPr>
            <w:tcW w:w="3196" w:type="dxa"/>
          </w:tcPr>
          <w:p>
            <w:r>
              <w:t>Fitting a technology to the user's acceptance criteria produces intention and use; STAM adds age-specific factors</w:t>
            </w:r>
          </w:p>
        </w:tc>
        <w:tc>
          <w:tcPr>
            <w:tcW w:w="2827" w:type="dxa"/>
          </w:tcPr>
          <w:p>
            <w:r>
              <w:t>Whether acceptance survives an adverse, identity-relevant first verdict is not modelled</w:t>
            </w:r>
          </w:p>
        </w:tc>
        <w:tc>
          <w:tcPr>
            <w:tcW w:w="2772" w:type="dxa"/>
          </w:tcPr>
          <w:p>
            <w:r>
              <w:t>Premise one of H0 (§2.3.5); Stage-1 survey constructs (Chapter 4)</w:t>
            </w:r>
          </w:p>
        </w:tc>
      </w:tr>
      <w:tr>
        <w:tc>
          <w:tcPr>
            <w:tcW w:w="1737" w:type="dxa"/>
          </w:tcPr>
          <w:p>
            <w:r>
              <w:t>Two — Gamification and Octalysis</w:t>
            </w:r>
          </w:p>
        </w:tc>
        <w:tc>
          <w:tcPr>
            <w:tcW w:w="2905" w:type="dxa"/>
          </w:tcPr>
          <w:p>
            <w:r>
              <w:t>Deterding et al. (2011); Chou (2015); An, Cheung &amp; Willoughby (2024); An, Cheung &amp; Lo (2025)</w:t>
            </w:r>
          </w:p>
        </w:tc>
        <w:tc>
          <w:tcPr>
            <w:tcW w:w="3196" w:type="dxa"/>
          </w:tcPr>
          <w:p>
            <w:r>
              <w:t>Game mechanics lift older adults' intention and engagement in non-clinical demonstrations</w:t>
            </w:r>
          </w:p>
        </w:tc>
        <w:tc>
          <w:tcPr>
            <w:tcW w:w="2827" w:type="dxa"/>
          </w:tcPr>
          <w:p>
            <w:r>
              <w:t>Whether the demonstration transfers when the game is attached to a clinical FRA verdict (§2.3.4)</w:t>
            </w:r>
          </w:p>
        </w:tc>
        <w:tc>
          <w:tcPr>
            <w:tcW w:w="2772" w:type="dxa"/>
          </w:tcPr>
          <w:p>
            <w:r>
              <w:t>Premise two of H0; the Stage-2 instrument specification (Chapter 5)</w:t>
            </w:r>
          </w:p>
        </w:tc>
      </w:tr>
      <w:tr>
        <w:tc>
          <w:tcPr>
            <w:tcW w:w="1737" w:type="dxa"/>
          </w:tcPr>
          <w:p>
            <w:r>
              <w:t>Three — Self-efficacy</w:t>
            </w:r>
          </w:p>
        </w:tc>
        <w:tc>
          <w:tcPr>
            <w:tcW w:w="2905" w:type="dxa"/>
          </w:tcPr>
          <w:p>
            <w:r>
              <w:t>Bandura (1977, 1997); Hawthorn (2007); Broady, Chan &amp; Caputi (2010); Tsai et al. (2020)</w:t>
            </w:r>
          </w:p>
        </w:tc>
        <w:tc>
          <w:tcPr>
            <w:tcW w:w="3196" w:type="dxa"/>
          </w:tcPr>
          <w:p>
            <w:r>
              <w:t>Difficulty lowers persistence; the fear-and-failure cycle in older computer users</w:t>
            </w:r>
          </w:p>
        </w:tc>
        <w:tc>
          <w:tcPr>
            <w:tcW w:w="2827" w:type="dxa"/>
          </w:tcPr>
          <w:p>
            <w:r>
              <w:t>Why dropout would become permanent even where recorded competence improves (§2.4.4)</w:t>
            </w:r>
          </w:p>
        </w:tc>
        <w:tc>
          <w:tcPr>
            <w:tcW w:w="2772" w:type="dxa"/>
          </w:tcPr>
          <w:p>
            <w:r>
              <w:t>First diagnostic layer for reading the engagement data (Chapters 5–6)</w:t>
            </w:r>
          </w:p>
        </w:tc>
      </w:tr>
      <w:tr>
        <w:tc>
          <w:tcPr>
            <w:tcW w:w="1737" w:type="dxa"/>
          </w:tcPr>
          <w:p>
            <w:r>
              <w:t>Four — Behavioural science</w:t>
            </w:r>
          </w:p>
        </w:tc>
        <w:tc>
          <w:tcPr>
            <w:tcW w:w="2905" w:type="dxa"/>
          </w:tcPr>
          <w:p>
            <w:r>
              <w:t>Kahneman &amp; Tversky (1979); Thaler (1985); Steele &amp; Aronson (1995)</w:t>
            </w:r>
          </w:p>
        </w:tc>
        <w:tc>
          <w:tcPr>
            <w:tcW w:w="3196" w:type="dxa"/>
          </w:tcPr>
          <w:p>
            <w:r>
              <w:t>Loss aversion, endowment on identity-level assets, mental accounting and stereotype threat as candidate operators</w:t>
            </w:r>
          </w:p>
        </w:tc>
        <w:tc>
          <w:tcPr>
            <w:tcW w:w="2827" w:type="dxa"/>
          </w:tcPr>
          <w:p>
            <w:r>
              <w:t>Whether these laboratory-derived operators organise field non-return in clinically framed play</w:t>
            </w:r>
          </w:p>
        </w:tc>
        <w:tc>
          <w:tcPr>
            <w:tcW w:w="2772" w:type="dxa"/>
          </w:tcPr>
          <w:p>
            <w:r>
              <w:t>The candidate account of failure-associated non-return (Table 2.1); developed further in Chapter 5</w:t>
            </w:r>
          </w:p>
        </w:tc>
      </w:tr>
      <w:tr>
        <w:tc>
          <w:tcPr>
            <w:tcW w:w="1737" w:type="dxa"/>
          </w:tcPr>
          <w:p>
            <w:r>
              <w:t>Five — Design responses</w:t>
            </w:r>
          </w:p>
        </w:tc>
        <w:tc>
          <w:tcPr>
            <w:tcW w:w="2905" w:type="dxa"/>
          </w:tcPr>
          <w:p>
            <w:r>
              <w:t>Kapur (2008); adaptive-learning lineage (§2.6.2A); SDT and goal-setting (§2.6.2B); zero-failure design (research-generated, §2.6.2C)</w:t>
            </w:r>
          </w:p>
        </w:tc>
        <w:tc>
          <w:tcPr>
            <w:tcW w:w="3196" w:type="dxa"/>
          </w:tcPr>
          <w:p>
            <w:r>
              <w:t>Failure's meaning is designable: decoupling, trajectory framing and adaptive challenge are available responses</w:t>
            </w:r>
          </w:p>
        </w:tc>
        <w:tc>
          <w:tcPr>
            <w:tcW w:w="2827" w:type="dxa"/>
          </w:tcPr>
          <w:p>
            <w:r>
              <w:t>Whether re-framing failure restores engagement in this population</w:t>
            </w:r>
          </w:p>
        </w:tc>
        <w:tc>
          <w:tcPr>
            <w:tcW w:w="2772" w:type="dxa"/>
          </w:tcPr>
          <w:p>
            <w:r>
              <w:t>Stage-3 decoupling test (Chapter 6); the adaptive-learning framework (Chapter 7); prospective test (§8.8)</w:t>
            </w:r>
          </w:p>
        </w:tc>
      </w:tr>
      <w:tr>
        <w:tc>
          <w:tcPr>
            <w:tcW w:w="1737" w:type="dxa"/>
          </w:tcPr>
          <w:p>
            <w:r>
              <w:t>Supporting evidence and adjacent frameworks</w:t>
            </w:r>
          </w:p>
        </w:tc>
        <w:tc>
          <w:tcPr>
            <w:tcW w:w="2905" w:type="dxa"/>
          </w:tcPr>
          <w:p>
            <w:r>
              <w:t>Koivisto &amp; Malik (2021); Greenhalgh et al. (2017, NASSS); Park et al. (2019); Kim et al. (2018); Shannon (1948)</w:t>
            </w:r>
          </w:p>
        </w:tc>
        <w:tc>
          <w:tcPr>
            <w:tcW w:w="3196" w:type="dxa"/>
          </w:tcPr>
          <w:p>
            <w:r>
              <w:t>An evidence base for gamification with older adults; documented abandonment; a cross-cultural anchor; an information-theoretic bridge lens</w:t>
            </w:r>
          </w:p>
        </w:tc>
        <w:tc>
          <w:tcPr>
            <w:tcW w:w="2827" w:type="dxa"/>
          </w:tcPr>
          <w:p>
            <w:r>
              <w:t>A mechanism-level account of abandonment is absent from all of them</w:t>
            </w:r>
          </w:p>
        </w:tc>
        <w:tc>
          <w:tcPr>
            <w:tcW w:w="2772" w:type="dxa"/>
          </w:tcPr>
          <w:p>
            <w:r>
              <w:t>The gap this thesis addresses; discussion lenses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trPr>
        <w:tc>
          <w:tcPr>
            <w:tcW w:w="1881" w:type="dxa"/>
          </w:tcPr>
          <w:p>
            <w:r>
              <w:rPr>
                <w:b/>
              </w:rPr>
              <w:t>Research activity</w:t>
            </w:r>
          </w:p>
        </w:tc>
        <w:tc>
          <w:tcPr>
            <w:tcW w:w="2467" w:type="dxa"/>
          </w:tcPr>
          <w:p>
            <w:r>
              <w:rPr>
                <w:b/>
              </w:rPr>
              <w:t>Question carried from the literature</w:t>
            </w:r>
          </w:p>
        </w:tc>
        <w:tc>
          <w:tcPr>
            <w:tcW w:w="2199" w:type="dxa"/>
          </w:tcPr>
          <w:p>
            <w:r>
              <w:rPr>
                <w:b/>
              </w:rPr>
              <w:t>What is instrumented</w:t>
            </w:r>
          </w:p>
        </w:tc>
        <w:tc>
          <w:tcPr>
            <w:tcW w:w="1958" w:type="dxa"/>
          </w:tcPr>
          <w:p>
            <w:r>
              <w:rPr>
                <w:b/>
              </w:rPr>
              <w:t>Literature stage it tests</w:t>
            </w:r>
          </w:p>
        </w:tc>
      </w:tr>
      <w:tr>
        <w:tc>
          <w:tcPr>
            <w:tcW w:w="1881" w:type="dxa"/>
          </w:tcPr>
          <w:p>
            <w:r>
              <w:t>Stage 1 — retrospective survey (Chapter 4)</w:t>
            </w:r>
          </w:p>
        </w:tc>
        <w:tc>
          <w:tcPr>
            <w:tcW w:w="2467" w:type="dxa"/>
          </w:tcPr>
          <w:p>
            <w:r>
              <w:t>Does acceptance-compliant FRA use persist after adverse first experiences?</w:t>
            </w:r>
          </w:p>
        </w:tc>
        <w:tc>
          <w:tcPr>
            <w:tcW w:w="2199" w:type="dxa"/>
          </w:tcPr>
          <w:p>
            <w:r>
              <w:t>Prior use, adverse-experience recall, return behaviour; TAM/STAM acceptance items</w:t>
            </w:r>
          </w:p>
        </w:tc>
        <w:tc>
          <w:tcPr>
            <w:tcW w:w="1958" w:type="dxa"/>
          </w:tcPr>
          <w:p>
            <w:r>
              <w:t>Stages one–two (H0)</w:t>
            </w:r>
          </w:p>
        </w:tc>
      </w:tr>
      <w:tr>
        <w:tc>
          <w:tcPr>
            <w:tcW w:w="1881" w:type="dxa"/>
          </w:tcPr>
          <w:p>
            <w:r>
              <w:t>Stage 2 — gamified FRA deployment (Chapter 5)</w:t>
            </w:r>
          </w:p>
        </w:tc>
        <w:tc>
          <w:tcPr>
            <w:tcW w:w="2467" w:type="dxa"/>
          </w:tcPr>
          <w:p>
            <w:r>
              <w:t>Does an acceptance-screened, Octalysis-compliant gamified FRA sustain engagement at the assessment site?</w:t>
            </w:r>
          </w:p>
        </w:tc>
        <w:tc>
          <w:tcPr>
            <w:tcW w:w="2199" w:type="dxa"/>
          </w:tcPr>
          <w:p>
            <w:r>
              <w:t>Session telemetry, recorded performance, satisfaction and self-report</w:t>
            </w:r>
          </w:p>
        </w:tc>
        <w:tc>
          <w:tcPr>
            <w:tcW w:w="1958" w:type="dxa"/>
          </w:tcPr>
          <w:p>
            <w:r>
              <w:t>Stages one–two (H0), with stage three as the first diagnostic layer</w:t>
            </w:r>
          </w:p>
        </w:tc>
      </w:tr>
      <w:tr>
        <w:tc>
          <w:tcPr>
            <w:tcW w:w="1881" w:type="dxa"/>
          </w:tcPr>
          <w:p>
            <w:r>
              <w:t>Stage 3 — participant-facing decoupling (Chapter 6)</w:t>
            </w:r>
          </w:p>
        </w:tc>
        <w:tc>
          <w:tcPr>
            <w:tcW w:w="2467" w:type="dxa"/>
          </w:tcPr>
          <w:p>
            <w:r>
              <w:t>Is non-return dispositional, or coupled to the clinical frame that gives failure its meaning?</w:t>
            </w:r>
          </w:p>
        </w:tc>
        <w:tc>
          <w:tcPr>
            <w:tcW w:w="2199" w:type="dxa"/>
          </w:tcPr>
          <w:p>
            <w:r>
              <w:t>Post-failure return, endorsement and stated intention in a separate cohort</w:t>
            </w:r>
          </w:p>
        </w:tc>
        <w:tc>
          <w:tcPr>
            <w:tcW w:w="1958" w:type="dxa"/>
          </w:tcPr>
          <w:p>
            <w:r>
              <w:t>Stage four's candidate account against its dispositional rival; stage five's decoupling response</w:t>
            </w:r>
          </w:p>
        </w:tc>
      </w:tr>
      <w:tr>
        <w:tc>
          <w:tcPr>
            <w:tcW w:w="1881" w:type="dxa"/>
          </w:tcPr>
          <w:p>
            <w:r>
              <w:t>Adaptive-learning framework and prospective test (Chapter 7; §8.8)</w:t>
            </w:r>
          </w:p>
        </w:tc>
        <w:tc>
          <w:tcPr>
            <w:tcW w:w="2467" w:type="dxa"/>
          </w:tcPr>
          <w:p>
            <w:r>
              <w:t>Can a learning-trajectory frame change what a single adverse event means?</w:t>
            </w:r>
          </w:p>
        </w:tc>
        <w:tc>
          <w:tcPr>
            <w:tcW w:w="2199" w:type="dxa"/>
          </w:tcPr>
          <w:p>
            <w:r>
              <w:t>Framework specification; a pre-registered field experiment</w:t>
            </w:r>
          </w:p>
        </w:tc>
        <w:tc>
          <w:tcPr>
            <w:tcW w:w="1958" w:type="dxa"/>
          </w:tcPr>
          <w:p>
            <w:r>
              <w:t>Stage five's design propositions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trPr>
        <w:tc>
          <w:tcPr>
            <w:tcW w:type="dxa" w:w="2460"/>
          </w:tcPr>
          <w:p>
            <w:pPr>
              <w:pStyle w:val="Normal"/>
            </w:pPr>
            <w:r>
              <w:rPr>
                <w:b/>
                <w:sz w:val="24"/>
                <w:szCs w:val="28"/>
                <w:lang w:val="en-US" w:eastAsia="en-US" w:bidi="ar-SA"/>
                <w:rFonts w:ascii="Times New Roman" w:hAnsi="Times New Roman" w:eastAsia="Times New Roman" w:cs="Times New Roman"/>
              </w:rPr>
              <w:t>Claim</w:t>
            </w:r>
          </w:p>
        </w:tc>
        <w:tc>
          <w:tcPr>
            <w:tcW w:type="dxa" w:w="1681"/>
          </w:tcPr>
          <w:p>
            <w:pPr>
              <w:pStyle w:val="Normal"/>
            </w:pPr>
            <w:r>
              <w:rPr>
                <w:b/>
                <w:sz w:val="24"/>
                <w:szCs w:val="28"/>
                <w:lang w:val="en-US" w:eastAsia="en-US" w:bidi="ar-SA"/>
                <w:rFonts w:ascii="Times New Roman" w:hAnsi="Times New Roman" w:eastAsia="Times New Roman" w:cs="Times New Roman"/>
              </w:rPr>
              <w:t>Origin</w:t>
            </w:r>
          </w:p>
        </w:tc>
        <w:tc>
          <w:tcPr>
            <w:tcW w:type="dxa" w:w="978"/>
          </w:tcPr>
          <w:p>
            <w:pPr>
              <w:pStyle w:val="Normal"/>
            </w:pPr>
            <w:r>
              <w:rPr>
                <w:b/>
                <w:sz w:val="24"/>
                <w:szCs w:val="28"/>
                <w:lang w:val="en-US" w:eastAsia="en-US" w:bidi="ar-SA"/>
                <w:rFonts w:ascii="Times New Roman" w:hAnsi="Times New Roman" w:eastAsia="Times New Roman" w:cs="Times New Roman"/>
              </w:rPr>
              <w:t>Stated</w:t>
            </w:r>
          </w:p>
        </w:tc>
        <w:tc>
          <w:tcPr>
            <w:tcW w:type="dxa" w:w="1387"/>
          </w:tcPr>
          <w:p>
            <w:pPr>
              <w:pStyle w:val="Normal"/>
            </w:pPr>
            <w:r>
              <w:rPr>
                <w:b/>
                <w:sz w:val="24"/>
                <w:szCs w:val="28"/>
                <w:lang w:val="en-US" w:eastAsia="en-US" w:bidi="ar-SA"/>
                <w:rFonts w:ascii="Times New Roman" w:hAnsi="Times New Roman" w:eastAsia="Times New Roman" w:cs="Times New Roman"/>
              </w:rPr>
              <w:t>Tested / examined</w:t>
            </w:r>
          </w:p>
        </w:tc>
        <w:tc>
          <w:tcPr>
            <w:tcW w:type="dxa" w:w="1999"/>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2460"/>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68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978"/>
          </w:tcPr>
          <w:p>
            <w:pPr>
              <w:pStyle w:val="Normal"/>
            </w:pPr>
            <w:r>
              <w:rPr>
                <w:sz w:val="24"/>
                <w:szCs w:val="22"/>
                <w:lang w:val="en-US" w:eastAsia="en-US" w:bidi="ar-SA"/>
                <w:rFonts w:ascii="Times New Roman" w:hAnsi="Times New Roman" w:eastAsia="Times New Roman" w:cs="Times New Roman"/>
                <w:b/>
              </w:rPr>
              <w:t>§2.3.5; §5.1</w:t>
            </w:r>
          </w:p>
        </w:tc>
        <w:tc>
          <w:tcPr>
            <w:tcW w:type="dxa" w:w="1387"/>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999"/>
          </w:tcPr>
          <w:p>
            <w:pPr>
              <w:pStyle w:val="Normal"/>
            </w:pPr>
            <w:r>
              <w:rPr>
                <w:sz w:val="24"/>
                <w:szCs w:val="22"/>
                <w:lang w:val="en-US" w:eastAsia="en-US" w:bidi="ar-SA"/>
                <w:rFonts w:ascii="Times New Roman" w:hAnsi="Times New Roman" w:eastAsia="Times New Roman" w:cs="Times New Roman"/>
                <w:b/>
              </w:rPr>
              <w:t>Rejected</w:t>
            </w:r>
          </w:p>
        </w:tc>
      </w:tr>
      <w:tr>
        <w:tc>
          <w:tcPr>
            <w:tcW w:type="dxa" w:w="2460"/>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681"/>
          </w:tcPr>
          <w:p>
            <w:pPr>
              <w:pStyle w:val="Normal"/>
            </w:pPr>
            <w:r>
              <w:rPr>
                <w:sz w:val="24"/>
                <w:szCs w:val="22"/>
                <w:lang w:val="en-US" w:eastAsia="en-US" w:bidi="ar-SA"/>
                <w:rFonts w:ascii="Times New Roman" w:hAnsi="Times New Roman" w:eastAsia="Times New Roman" w:cs="Times New Roman"/>
                <w:b/>
              </w:rPr>
              <w:t>Stage-1 observations</w:t>
            </w:r>
          </w:p>
        </w:tc>
        <w:tc>
          <w:tcPr>
            <w:tcW w:type="dxa" w:w="978"/>
          </w:tcPr>
          <w:p>
            <w:pPr>
              <w:pStyle w:val="Normal"/>
            </w:pPr>
            <w:r>
              <w:rPr>
                <w:sz w:val="24"/>
                <w:szCs w:val="22"/>
                <w:lang w:val="en-US" w:eastAsia="en-US" w:bidi="ar-SA"/>
                <w:rFonts w:ascii="Times New Roman" w:hAnsi="Times New Roman" w:eastAsia="Times New Roman" w:cs="Times New Roman"/>
                <w:b/>
              </w:rPr>
              <w:t>§5.1</w:t>
            </w:r>
          </w:p>
        </w:tc>
        <w:tc>
          <w:tcPr>
            <w:tcW w:type="dxa" w:w="1387"/>
          </w:tcPr>
          <w:p>
            <w:pPr>
              <w:pStyle w:val="Normal"/>
            </w:pPr>
            <w:r>
              <w:rPr>
                <w:sz w:val="24"/>
                <w:szCs w:val="22"/>
                <w:lang w:val="en-US" w:eastAsia="en-US" w:bidi="ar-SA"/>
                <w:rFonts w:ascii="Times New Roman" w:hAnsi="Times New Roman" w:eastAsia="Times New Roman" w:cs="Times New Roman"/>
                <w:b/>
              </w:rPr>
              <w:t>Stage 2 (Ch 5)</w:t>
            </w:r>
          </w:p>
        </w:tc>
        <w:tc>
          <w:tcPr>
            <w:tcW w:type="dxa" w:w="1999"/>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2460"/>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68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978"/>
          </w:tcPr>
          <w:p>
            <w:pPr>
              <w:pStyle w:val="Normal"/>
            </w:pPr>
            <w:r>
              <w:rPr>
                <w:sz w:val="24"/>
                <w:szCs w:val="22"/>
                <w:lang w:val="en-US" w:eastAsia="en-US" w:bidi="ar-SA"/>
                <w:rFonts w:ascii="Times New Roman" w:hAnsi="Times New Roman" w:eastAsia="Times New Roman" w:cs="Times New Roman"/>
                <w:b/>
              </w:rPr>
              <w:t>§5.1; §6.2</w:t>
            </w:r>
          </w:p>
        </w:tc>
        <w:tc>
          <w:tcPr>
            <w:tcW w:type="dxa" w:w="1387"/>
          </w:tcPr>
          <w:p>
            <w:pPr>
              <w:pStyle w:val="Normal"/>
            </w:pPr>
            <w:r>
              <w:rPr>
                <w:sz w:val="24"/>
                <w:szCs w:val="22"/>
                <w:lang w:val="en-US" w:eastAsia="en-US" w:bidi="ar-SA"/>
                <w:rFonts w:ascii="Times New Roman" w:hAnsi="Times New Roman" w:eastAsia="Times New Roman" w:cs="Times New Roman"/>
                <w:b/>
              </w:rPr>
              <w:t>Stage 3 (Ch 6)</w:t>
            </w:r>
          </w:p>
        </w:tc>
        <w:tc>
          <w:tcPr>
            <w:tcW w:type="dxa" w:w="1999"/>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2460"/>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68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978"/>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387"/>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999"/>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2460"/>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68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978"/>
          </w:tcPr>
          <w:p>
            <w:pPr>
              <w:pStyle w:val="Normal"/>
            </w:pPr>
            <w:r>
              <w:rPr>
                <w:sz w:val="24"/>
                <w:szCs w:val="22"/>
                <w:lang w:val="en-US" w:eastAsia="en-US" w:bidi="ar-SA"/>
                <w:rFonts w:ascii="Times New Roman" w:hAnsi="Times New Roman" w:eastAsia="Times New Roman" w:cs="Times New Roman"/>
                <w:b/>
              </w:rPr>
              <w:t>§3.2; §6.2</w:t>
            </w:r>
          </w:p>
        </w:tc>
        <w:tc>
          <w:tcPr>
            <w:tcW w:type="dxa" w:w="1387"/>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999"/>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tbl>
      <w:tblPr>
        <w:tblStyle w:val="TableGrid"/>
        <w:tblW w:type="dxa" w:w="8505"/>
        <w:tblLayout w:type="fixed"/>
        <w:tblLook w:firstColumn="1" w:firstRow="1" w:lastColumn="0" w:lastRow="0" w:noHBand="0" w:noVBand="1" w:val="04A0"/>
      </w:tblPr>
      <w:tblGrid>
        <w:gridCol w:w="3927"/>
        <w:gridCol w:w="2584"/>
        <w:gridCol w:w="1994"/>
      </w:tblGrid>
      <w:tr>
        <w:trPr>
          <w:tblHeader/>
        </w:trPr>
        <w:tc>
          <w:tcPr>
            <w:tcW w:type="dxa" w:w="3927"/>
          </w:tcPr>
          <w:p>
            <w:r>
              <w:rPr>
                <w:b/>
              </w:rPr>
              <w:t>Activity</w:t>
            </w:r>
          </w:p>
        </w:tc>
        <w:tc>
          <w:tcPr>
            <w:tcW w:type="dxa" w:w="2584"/>
          </w:tcPr>
          <w:p>
            <w:r>
              <w:rPr>
                <w:b/>
              </w:rPr>
              <w:t>Period</w:t>
            </w:r>
          </w:p>
        </w:tc>
        <w:tc>
          <w:tcPr>
            <w:tcW w:type="dxa" w:w="1994"/>
          </w:tcPr>
          <w:p>
            <w:r>
              <w:rPr>
                <w:b/>
              </w:rPr>
              <w:t>Reported in</w:t>
            </w:r>
          </w:p>
        </w:tc>
      </w:tr>
      <w:tr>
        <w:tc>
          <w:tcPr>
            <w:tcW w:type="dxa" w:w="3927"/>
          </w:tcPr>
          <w:p>
            <w:r>
              <w:t>Site observation and the FIDS conjecture</w:t>
            </w:r>
          </w:p>
        </w:tc>
        <w:tc>
          <w:tcPr>
            <w:tcW w:type="dxa" w:w="2584"/>
          </w:tcPr>
          <w:p>
            <w:r>
              <w:t>2023</w:t>
            </w:r>
          </w:p>
        </w:tc>
        <w:tc>
          <w:tcPr>
            <w:tcW w:type="dxa" w:w="1994"/>
          </w:tcPr>
          <w:p>
            <w:r>
              <w:t>Chapter 1</w:t>
            </w:r>
          </w:p>
        </w:tc>
      </w:tr>
      <w:tr>
        <w:tc>
          <w:tcPr>
            <w:tcW w:type="dxa" w:w="3927"/>
          </w:tcPr>
          <w:p>
            <w:r>
              <w:t>Stage 1 — retrospective survey (N=200 of 280)</w:t>
            </w:r>
          </w:p>
        </w:tc>
        <w:tc>
          <w:tcPr>
            <w:tcW w:type="dxa" w:w="2584"/>
          </w:tcPr>
          <w:p>
            <w:r>
              <w:t>July–August 2024</w:t>
            </w:r>
          </w:p>
        </w:tc>
        <w:tc>
          <w:tcPr>
            <w:tcW w:type="dxa" w:w="1994"/>
          </w:tcPr>
          <w:p>
            <w:r>
              <w:t>Chapter 4</w:t>
            </w:r>
          </w:p>
        </w:tc>
      </w:tr>
      <w:tr>
        <w:tc>
          <w:tcPr>
            <w:tcW w:type="dxa" w:w="3927"/>
          </w:tcPr>
          <w:p>
            <w:r>
              <w:t>Game design and platform validation</w:t>
            </w:r>
          </w:p>
        </w:tc>
        <w:tc>
          <w:tcPr>
            <w:tcW w:type="dxa" w:w="2584"/>
          </w:tcPr>
          <w:p>
            <w:r>
              <w:t>2024</w:t>
            </w:r>
          </w:p>
        </w:tc>
        <w:tc>
          <w:tcPr>
            <w:tcW w:type="dxa" w:w="1994"/>
          </w:tcPr>
          <w:p>
            <w:r>
              <w:t>Chapter 5, Appendix G.8</w:t>
            </w:r>
          </w:p>
        </w:tc>
      </w:tr>
      <w:t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c>
          <w:tcPr>
            <w:tcW w:type="dxa" w:w="3927"/>
          </w:tcPr>
          <w:p>
            <w:r>
              <w:t>Stage 3 — remote decoupled deployment (register N=120)</w:t>
            </w:r>
          </w:p>
        </w:tc>
        <w:tc>
          <w:tcPr>
            <w:tcW w:type="dxa" w:w="2584"/>
          </w:tcPr>
          <w:p>
            <w:r>
              <w:t>March–April 2026</w:t>
            </w:r>
          </w:p>
        </w:tc>
        <w:tc>
          <w:tcPr>
            <w:tcW w:type="dxa" w:w="1994"/>
          </w:tcPr>
          <w:p>
            <w:r>
              <w:t>Chapter 6</w:t>
            </w:r>
          </w:p>
        </w:tc>
      </w:tr>
      <w:tr>
        <w:tc>
          <w:tcPr>
            <w:tcW w:type="dxa" w:w="3927"/>
          </w:tcPr>
          <w:p>
            <w:r>
              <w:t>Expert consultation panel (four consultations + follow-ups)</w:t>
            </w:r>
          </w:p>
        </w:tc>
        <w:tc>
          <w:tcPr>
            <w:tcW w:type="dxa" w:w="2584"/>
          </w:tcPr>
          <w:p>
            <w:r>
              <w:t>March–August 2026</w:t>
            </w:r>
          </w:p>
        </w:tc>
        <w:tc>
          <w:tcPr>
            <w:tcW w:type="dxa" w:w="1994"/>
          </w:tcPr>
          <w:p>
            <w:r>
              <w:t>§6.12, Appendix H</w:t>
            </w:r>
          </w:p>
        </w:tc>
      </w:tr>
      <w:tr>
        <w:tc>
          <w:tcPr>
            <w:tcW w:type="dxa" w:w="3927"/>
          </w:tcPr>
          <w:p>
            <w:r>
              <w:t>Ethics approval HSEARS20260805008</w:t>
            </w:r>
          </w:p>
        </w:tc>
        <w:tc>
          <w:tcPr>
            <w:tcW w:type="dxa" w:w="2584"/>
          </w:tcPr>
          <w:p>
            <w:r>
              <w:t>August 2026</w:t>
            </w:r>
          </w:p>
        </w:tc>
        <w:tc>
          <w:tcPr>
            <w:tcW w:type="dxa" w:w="1994"/>
          </w:tcPr>
          <w:p>
            <w:r>
              <w:t>§3.4</w:t>
            </w:r>
          </w:p>
        </w:tc>
      </w:tr>
      <w:t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c>
          <w:tcPr>
            <w:tcW w:type="dxa" w:w="3927"/>
          </w:tcPr>
          <w:p>
            <w:r>
              <w:t>Programme close and thesis completion</w:t>
            </w:r>
          </w:p>
        </w:tc>
        <w:tc>
          <w:tcPr>
            <w:tcW w:type="dxa" w:w="2584"/>
          </w:tcPr>
          <w:p>
            <w:r>
              <w:t>October 2026</w:t>
            </w:r>
          </w:p>
        </w:tc>
        <w:tc>
          <w:tcPr>
            <w:tcW w:type="dxa" w:w="1994"/>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trPr>
        <w:tc>
          <w:tcPr>
            <w:tcW w:w="6674" w:type="dxa"/>
          </w:tcPr>
          <w:p>
            <w:pPr>
              <w:pStyle w:val="Normal"/>
            </w:pPr>
            <w:r>
              <w:rPr>
                <w:b/>
                <w:sz w:val="24"/>
                <w:szCs w:val="22"/>
                <w:lang w:val="en-US" w:eastAsia="en-US" w:bidi="ar-SA"/>
                <w:rFonts w:ascii="Times New Roman" w:hAnsi="Times New Roman" w:eastAsia="Times New Roman" w:cs="Times New Roman"/>
              </w:rPr>
              <w:t>Survey item</w:t>
            </w:r>
          </w:p>
        </w:tc>
        <w:tc>
          <w:tcPr>
            <w:tcW w:w="1831"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trPr>
        <w:tc>
          <w:tcPr>
            <w:tcW w:w="2587" w:type="dxa"/>
          </w:tcPr>
          <w:p>
            <w:pPr>
              <w:pStyle w:val="Normal"/>
            </w:pPr>
            <w:r>
              <w:rPr>
                <w:b/>
                <w:sz w:val="24"/>
                <w:szCs w:val="22"/>
                <w:lang w:val="en-US" w:eastAsia="en-US" w:bidi="ar-SA"/>
                <w:rFonts w:ascii="Times New Roman" w:hAnsi="Times New Roman" w:eastAsia="Times New Roman" w:cs="Times New Roman"/>
              </w:rPr>
              <w:t>TAM assumption</w:t>
            </w:r>
          </w:p>
        </w:tc>
        <w:tc>
          <w:tcPr>
            <w:tcW w:w="3142"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776"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3142" w:type="dxa"/>
          </w:tcPr>
          <w:p>
            <w:pPr>
              <w:pStyle w:val="Normal"/>
            </w:pPr>
            <w:r>
              <w:rPr>
                <w:sz w:val="24"/>
                <w:szCs w:val="22"/>
                <w:lang w:val="en-US" w:eastAsia="en-US" w:bidi="ar-SA"/>
                <w:rFonts w:ascii="Times New Roman" w:hAnsi="Times New Roman" w:eastAsia="Times New Roman" w:cs="Times New Roman"/>
              </w:rPr>
              <w:t>Users are retired</w:t>
            </w:r>
          </w:p>
        </w:tc>
        <w:tc>
          <w:tcPr>
            <w:tcW w:w="2776"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3142"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776"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3142"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776"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3142"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776"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trPr>
        <w:tc>
          <w:tcPr>
            <w:tcW w:w="2079" w:type="dxa"/>
          </w:tcPr>
          <w:p>
            <w:pPr>
              <w:pStyle w:val="Normal"/>
            </w:pPr>
            <w:r>
              <w:rPr>
                <w:b/>
                <w:sz w:val="24"/>
                <w:szCs w:val="22"/>
                <w:lang w:val="en-US" w:eastAsia="en-US" w:bidi="ar-SA"/>
                <w:rFonts w:ascii="Times New Roman" w:hAnsi="Times New Roman" w:eastAsia="Times New Roman" w:cs="Times New Roman"/>
              </w:rPr>
              <w:t>Octalysis drive</w:t>
            </w:r>
          </w:p>
        </w:tc>
        <w:tc>
          <w:tcPr>
            <w:tcW w:w="2628" w:type="dxa"/>
          </w:tcPr>
          <w:p>
            <w:pPr>
              <w:pStyle w:val="Normal"/>
            </w:pPr>
            <w:r>
              <w:rPr>
                <w:b/>
                <w:sz w:val="24"/>
                <w:szCs w:val="22"/>
                <w:lang w:val="en-US" w:eastAsia="en-US" w:bidi="ar-SA"/>
                <w:rFonts w:ascii="Times New Roman" w:hAnsi="Times New Roman" w:eastAsia="Times New Roman" w:cs="Times New Roman"/>
              </w:rPr>
              <w:t>Standard assumption</w:t>
            </w:r>
          </w:p>
        </w:tc>
        <w:tc>
          <w:tcPr>
            <w:tcW w:w="3798"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trPr>
        <w:tc>
          <w:tcPr>
            <w:tcW w:w="1053" w:type="dxa"/>
          </w:tcPr>
          <w:p>
            <w:pPr>
              <w:pStyle w:val="Normal"/>
            </w:pPr>
            <w:r>
              <w:rPr>
                <w:b/>
                <w:sz w:val="20"/>
                <w:szCs w:val="22"/>
                <w:lang w:val="en-US" w:eastAsia="en-US" w:bidi="ar-SA"/>
                <w:rFonts w:ascii="Times New Roman" w:hAnsi="Times New Roman" w:eastAsia="Times New Roman" w:cs="Times New Roman"/>
              </w:rPr>
              <w:t>Category</w:t>
            </w:r>
          </w:p>
        </w:tc>
        <w:tc>
          <w:tcPr>
            <w:tcW w:w="2401" w:type="dxa"/>
          </w:tcPr>
          <w:p>
            <w:pPr>
              <w:pStyle w:val="Normal"/>
            </w:pPr>
            <w:r>
              <w:rPr>
                <w:b/>
                <w:sz w:val="20"/>
                <w:szCs w:val="22"/>
                <w:lang w:val="en-US" w:eastAsia="en-US" w:bidi="ar-SA"/>
                <w:rFonts w:ascii="Times New Roman" w:hAnsi="Times New Roman" w:eastAsia="Times New Roman" w:cs="Times New Roman"/>
              </w:rPr>
              <w:t>Parameter</w:t>
            </w:r>
          </w:p>
        </w:tc>
        <w:tc>
          <w:tcPr>
            <w:tcW w:w="1967" w:type="dxa"/>
          </w:tcPr>
          <w:p>
            <w:pPr>
              <w:pStyle w:val="Normal"/>
            </w:pPr>
            <w:r>
              <w:rPr>
                <w:b/>
                <w:sz w:val="20"/>
                <w:szCs w:val="22"/>
                <w:lang w:val="en-US" w:eastAsia="en-US" w:bidi="ar-SA"/>
                <w:rFonts w:ascii="Times New Roman" w:hAnsi="Times New Roman" w:eastAsia="Times New Roman" w:cs="Times New Roman"/>
              </w:rPr>
              <w:t>Value</w:t>
            </w:r>
          </w:p>
        </w:tc>
        <w:tc>
          <w:tcPr>
            <w:tcW w:w="3084"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trPr>
        <w:tc>
          <w:tcPr>
            <w:tcW w:w="1467" w:type="dxa"/>
          </w:tcPr>
          <w:p>
            <w:pPr>
              <w:pStyle w:val="Normal"/>
            </w:pPr>
            <w:r>
              <w:rPr>
                <w:b/>
                <w:sz w:val="20"/>
                <w:szCs w:val="22"/>
                <w:lang w:val="en-US" w:eastAsia="en-US" w:bidi="ar-SA"/>
                <w:rFonts w:ascii="Times New Roman" w:hAnsi="Times New Roman" w:eastAsia="Times New Roman" w:cs="Times New Roman"/>
              </w:rPr>
              <w:t>Dimension</w:t>
            </w:r>
          </w:p>
        </w:tc>
        <w:tc>
          <w:tcPr>
            <w:tcW w:w="7038"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trPr>
        <w:tc>
          <w:tcPr>
            <w:tcW w:w="4989" w:type="dxa"/>
          </w:tcPr>
          <w:p>
            <w:pPr>
              <w:pStyle w:val="Normal"/>
            </w:pPr>
            <w:r>
              <w:rPr>
                <w:b/>
                <w:sz w:val="24"/>
                <w:szCs w:val="26"/>
                <w:lang w:val="en-US" w:eastAsia="en-US" w:bidi="ar-SA"/>
                <w:rFonts w:ascii="Times New Roman" w:hAnsi="Times New Roman" w:eastAsia="Times New Roman" w:cs="Times New Roman"/>
              </w:rPr>
              <w:t>Engagement metric</w:t>
            </w:r>
          </w:p>
        </w:tc>
        <w:tc>
          <w:tcPr>
            <w:tcW w:w="3516"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jc w:val="center"/>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trPr>
        <w:tc>
          <w:tcPr>
            <w:tcW w:type="dxa" w:w="2842"/>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4208"/>
          </w:tcPr>
          <w:p>
            <w:pPr>
              <w:pStyle w:val="Normal"/>
            </w:pPr>
            <w:r>
              <w:rPr>
                <w:b/>
                <w:sz w:val="20"/>
                <w:szCs w:val="26"/>
                <w:lang w:val="en-US" w:eastAsia="en-US" w:bidi="ar-SA"/>
                <w:rFonts w:ascii="Times New Roman" w:hAnsi="Times New Roman" w:eastAsia="Times New Roman" w:cs="Times New Roman"/>
              </w:rPr>
              <w:t>Evidence from the data</w:t>
            </w:r>
          </w:p>
        </w:tc>
        <w:tc>
          <w:tcPr>
            <w:tcW w:type="dxa" w:w="2374"/>
          </w:tcPr>
          <w:p>
            <w:pPr>
              <w:pStyle w:val="Normal"/>
            </w:pPr>
            <w:r>
              <w:rPr>
                <w:b/>
                <w:sz w:val="20"/>
                <w:szCs w:val="26"/>
                <w:lang w:val="en-US" w:eastAsia="en-US" w:bidi="ar-SA"/>
                <w:rFonts w:ascii="Times New Roman" w:hAnsi="Times New Roman" w:eastAsia="Times New Roman" w:cs="Times New Roman"/>
              </w:rPr>
              <w:t>Construct</w:t>
            </w:r>
          </w:p>
        </w:tc>
        <w:tc>
          <w:tcPr>
            <w:tcW w:type="dxa" w:w="1002"/>
          </w:tcPr>
          <w:p>
            <w:pPr>
              <w:pStyle w:val="Normal"/>
            </w:pPr>
            <w:r>
              <w:rPr>
                <w:b/>
                <w:sz w:val="20"/>
                <w:szCs w:val="26"/>
                <w:lang w:val="en-US" w:eastAsia="en-US" w:bidi="ar-SA"/>
                <w:rFonts w:ascii="Times New Roman" w:hAnsi="Times New Roman" w:eastAsia="Times New Roman" w:cs="Times New Roman"/>
              </w:rPr>
              <w:t>Adaptive difficulty (L2)</w:t>
            </w:r>
          </w:p>
        </w:tc>
        <w:tc>
          <w:tcPr>
            <w:tcW w:type="dxa" w:w="1002"/>
          </w:tcPr>
          <w:p>
            <w:pPr>
              <w:pStyle w:val="Normal"/>
            </w:pPr>
            <w:r>
              <w:rPr>
                <w:b/>
                <w:sz w:val="20"/>
                <w:szCs w:val="26"/>
                <w:lang w:val="en-US" w:eastAsia="en-US" w:bidi="ar-SA"/>
                <w:rFonts w:ascii="Times New Roman" w:hAnsi="Times New Roman" w:eastAsia="Times New Roman" w:cs="Times New Roman"/>
              </w:rPr>
              <w:t>Loss-free states</w:t>
            </w:r>
          </w:p>
        </w:tc>
        <w:tc>
          <w:tcPr>
            <w:tcW w:type="dxa" w:w="1002"/>
          </w:tcPr>
          <w:p>
            <w:pPr>
              <w:pStyle w:val="Normal"/>
            </w:pPr>
            <w:r>
              <w:rPr>
                <w:b/>
                <w:sz w:val="20"/>
                <w:szCs w:val="26"/>
                <w:lang w:val="en-US" w:eastAsia="en-US" w:bidi="ar-SA"/>
                <w:rFonts w:ascii="Times New Roman" w:hAnsi="Times New Roman" w:eastAsia="Times New Roman" w:cs="Times New Roman"/>
              </w:rPr>
              <w:t>Trajectory display (L5)</w:t>
            </w:r>
          </w:p>
        </w:tc>
        <w:tc>
          <w:tcPr>
            <w:tcW w:type="dxa" w:w="1007"/>
          </w:tcPr>
          <w:p>
            <w:pPr>
              <w:pStyle w:val="Normal"/>
            </w:pPr>
            <w:r>
              <w:rPr>
                <w:b/>
                <w:sz w:val="20"/>
                <w:szCs w:val="26"/>
                <w:lang w:val="en-US" w:eastAsia="en-US" w:bidi="ar-SA"/>
                <w:rFonts w:ascii="Times New Roman" w:hAnsi="Times New Roman" w:eastAsia="Times New Roman" w:cs="Times New Roman"/>
              </w:rPr>
              <w:t>Coaching (L6)</w:t>
            </w:r>
          </w:p>
        </w:tc>
      </w:tr>
      <w:t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trPr>
        <w:tc>
          <w:tcPr>
            <w:tcW w:w="4518" w:type="dxa"/>
          </w:tcPr>
          <w:p>
            <w:pPr>
              <w:pStyle w:val="Normal"/>
            </w:pPr>
            <w:r>
              <w:rPr>
                <w:b/>
                <w:sz w:val="24"/>
                <w:szCs w:val="26"/>
                <w:lang w:val="en-US" w:eastAsia="en-US" w:bidi="ar-SA"/>
                <w:rFonts w:ascii="Times New Roman" w:hAnsi="Times New Roman" w:eastAsia="Times New Roman" w:cs="Times New Roman"/>
              </w:rPr>
              <w:t>Engagement metric</w:t>
            </w:r>
          </w:p>
        </w:tc>
        <w:tc>
          <w:tcPr>
            <w:tcW w:w="1993" w:type="dxa"/>
          </w:tcPr>
          <w:p>
            <w:pPr>
              <w:pStyle w:val="Normal"/>
            </w:pPr>
            <w:r>
              <w:rPr>
                <w:b/>
                <w:sz w:val="24"/>
                <w:szCs w:val="26"/>
                <w:lang w:val="en-US" w:eastAsia="en-US" w:bidi="ar-SA"/>
                <w:rFonts w:ascii="Times New Roman" w:hAnsi="Times New Roman" w:eastAsia="Times New Roman" w:cs="Times New Roman"/>
              </w:rPr>
              <w:t>Count</w:t>
            </w:r>
          </w:p>
        </w:tc>
        <w:tc>
          <w:tcPr>
            <w:tcW w:w="1994"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trPr>
        <w:tc>
          <w:tcPr>
            <w:tcW w:w="1318" w:type="dxa"/>
          </w:tcPr>
          <w:p>
            <w:pPr>
              <w:pStyle w:val="Normal"/>
            </w:pPr>
            <w:r>
              <w:rPr>
                <w:szCs w:val="26"/>
                <w:lang w:val="en-US" w:eastAsia="en-US" w:bidi="ar-SA"/>
                <w:rFonts w:ascii="Times New Roman" w:hAnsi="Times New Roman" w:eastAsia="Times New Roman" w:cs="Times New Roman"/>
                <w:sz w:val="24"/>
                <w:b/>
              </w:rPr>
              <w:t>Age band</w:t>
            </w:r>
          </w:p>
        </w:tc>
        <w:tc>
          <w:tcPr>
            <w:tcW w:w="1114" w:type="dxa"/>
          </w:tcPr>
          <w:p>
            <w:pPr>
              <w:pStyle w:val="Normal"/>
            </w:pPr>
            <w:r>
              <w:rPr>
                <w:b/>
                <w:sz w:val="24"/>
                <w:szCs w:val="26"/>
                <w:lang w:val="en-US" w:eastAsia="en-US" w:bidi="ar-SA"/>
                <w:rFonts w:ascii="Times New Roman" w:hAnsi="Times New Roman" w:eastAsia="Times New Roman" w:cs="Times New Roman"/>
              </w:rPr>
              <w:t>n</w:t>
            </w:r>
          </w:p>
        </w:tc>
        <w:tc>
          <w:tcPr>
            <w:tcW w:w="1796" w:type="dxa"/>
          </w:tcPr>
          <w:p>
            <w:pPr>
              <w:pStyle w:val="Normal"/>
            </w:pPr>
            <w:r>
              <w:rPr>
                <w:b/>
                <w:sz w:val="24"/>
                <w:szCs w:val="26"/>
                <w:lang w:val="en-US" w:eastAsia="en-US" w:bidi="ar-SA"/>
                <w:rFonts w:ascii="Times New Roman" w:hAnsi="Times New Roman" w:eastAsia="Times New Roman" w:cs="Times New Roman"/>
              </w:rPr>
              <w:t>Initial dropout</w:t>
            </w:r>
          </w:p>
        </w:tc>
        <w:tc>
          <w:tcPr>
            <w:tcW w:w="1114" w:type="dxa"/>
          </w:tcPr>
          <w:p>
            <w:pPr>
              <w:pStyle w:val="Normal"/>
            </w:pPr>
            <w:r>
              <w:rPr>
                <w:b/>
                <w:sz w:val="24"/>
                <w:szCs w:val="26"/>
                <w:lang w:val="en-US" w:eastAsia="en-US" w:bidi="ar-SA"/>
                <w:rFonts w:ascii="Times New Roman" w:hAnsi="Times New Roman" w:eastAsia="Times New Roman" w:cs="Times New Roman"/>
              </w:rPr>
              <w:t>Returned</w:t>
            </w:r>
          </w:p>
        </w:tc>
        <w:tc>
          <w:tcPr>
            <w:tcW w:w="1796" w:type="dxa"/>
          </w:tcPr>
          <w:p>
            <w:pPr>
              <w:pStyle w:val="Normal"/>
            </w:pPr>
            <w:r>
              <w:rPr>
                <w:szCs w:val="22"/>
                <w:lang w:val="en-US" w:eastAsia="en-US" w:bidi="ar-SA"/>
                <w:rFonts w:ascii="Times New Roman" w:hAnsi="Times New Roman" w:eastAsia="Times New Roman" w:cs="Times New Roman"/>
                <w:sz w:val="24"/>
              </w:rPr>
              <w:t>Observed non-return</w:t>
            </w:r>
          </w:p>
        </w:tc>
        <w:tc>
          <w:tcPr>
            <w:tcW w:w="1367"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trPr>
        <w:tc>
          <w:tcPr>
            <w:tcW w:w="3197" w:type="dxa"/>
          </w:tcPr>
          <w:p>
            <w:pPr>
              <w:pStyle w:val="Normal"/>
            </w:pPr>
            <w:r>
              <w:rPr>
                <w:b/>
                <w:sz w:val="24"/>
                <w:szCs w:val="26"/>
                <w:lang w:val="en-US" w:eastAsia="en-US" w:bidi="ar-SA"/>
                <w:rFonts w:ascii="Times New Roman" w:hAnsi="Times New Roman" w:eastAsia="Times New Roman" w:cs="Times New Roman"/>
              </w:rPr>
              <w:t>Item</w:t>
            </w:r>
          </w:p>
        </w:tc>
        <w:tc>
          <w:tcPr>
            <w:tcW w:w="1393" w:type="dxa"/>
          </w:tcPr>
          <w:p>
            <w:pPr>
              <w:pStyle w:val="Normal"/>
            </w:pPr>
            <w:r>
              <w:rPr>
                <w:b/>
                <w:sz w:val="24"/>
                <w:szCs w:val="26"/>
                <w:lang w:val="en-US" w:eastAsia="en-US" w:bidi="ar-SA"/>
                <w:rFonts w:ascii="Times New Roman" w:hAnsi="Times New Roman" w:eastAsia="Times New Roman" w:cs="Times New Roman"/>
              </w:rPr>
              <w:t>Younger 25–44</w:t>
            </w:r>
          </w:p>
        </w:tc>
        <w:tc>
          <w:tcPr>
            <w:tcW w:w="1356" w:type="dxa"/>
          </w:tcPr>
          <w:p>
            <w:pPr>
              <w:pStyle w:val="Normal"/>
            </w:pPr>
            <w:r>
              <w:rPr>
                <w:b/>
                <w:sz w:val="24"/>
                <w:szCs w:val="26"/>
                <w:lang w:val="en-US" w:eastAsia="en-US" w:bidi="ar-SA"/>
                <w:rFonts w:ascii="Times New Roman" w:hAnsi="Times New Roman" w:eastAsia="Times New Roman" w:cs="Times New Roman"/>
              </w:rPr>
              <w:t>Middle 45–64</w:t>
            </w:r>
          </w:p>
        </w:tc>
        <w:tc>
          <w:tcPr>
            <w:tcW w:w="1318" w:type="dxa"/>
          </w:tcPr>
          <w:p>
            <w:pPr>
              <w:pStyle w:val="Normal"/>
            </w:pPr>
            <w:r>
              <w:rPr>
                <w:b/>
                <w:sz w:val="24"/>
                <w:szCs w:val="26"/>
                <w:lang w:val="en-US" w:eastAsia="en-US" w:bidi="ar-SA"/>
                <w:rFonts w:ascii="Times New Roman" w:hAnsi="Times New Roman" w:eastAsia="Times New Roman" w:cs="Times New Roman"/>
              </w:rPr>
              <w:t>Older 65–80</w:t>
            </w:r>
          </w:p>
        </w:tc>
        <w:tc>
          <w:tcPr>
            <w:tcW w:w="1241"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trPr>
        <w:tc>
          <w:tcPr>
            <w:tcW w:w="1605" w:type="dxa"/>
          </w:tcPr>
          <w:p>
            <w:pPr>
              <w:pStyle w:val="Normal"/>
            </w:pPr>
            <w:r>
              <w:rPr>
                <w:b/>
                <w:sz w:val="24"/>
                <w:szCs w:val="26"/>
                <w:lang w:val="en-US" w:eastAsia="en-US" w:bidi="ar-SA"/>
                <w:rFonts w:ascii="Times New Roman" w:hAnsi="Times New Roman" w:eastAsia="Times New Roman" w:cs="Times New Roman"/>
              </w:rPr>
              <w:t>Model</w:t>
            </w:r>
          </w:p>
        </w:tc>
        <w:tc>
          <w:tcPr>
            <w:tcW w:w="3764" w:type="dxa"/>
          </w:tcPr>
          <w:p>
            <w:pPr>
              <w:pStyle w:val="Normal"/>
            </w:pPr>
            <w:r>
              <w:rPr>
                <w:b/>
                <w:sz w:val="24"/>
                <w:szCs w:val="26"/>
                <w:lang w:val="en-US" w:eastAsia="en-US" w:bidi="ar-SA"/>
                <w:rFonts w:ascii="Times New Roman" w:hAnsi="Times New Roman" w:eastAsia="Times New Roman" w:cs="Times New Roman"/>
              </w:rPr>
              <w:t>Predictors</w:t>
            </w:r>
          </w:p>
        </w:tc>
        <w:tc>
          <w:tcPr>
            <w:tcW w:w="3136"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trPr>
        <w:tc>
          <w:tcPr>
            <w:tcW w:w="2649" w:type="dxa"/>
          </w:tcPr>
          <w:p>
            <w:pPr>
              <w:pStyle w:val="Normal"/>
            </w:pPr>
            <w:r>
              <w:rPr>
                <w:b/>
                <w:sz w:val="24"/>
                <w:szCs w:val="22"/>
                <w:lang w:val="en-US" w:eastAsia="en-US" w:bidi="ar-SA"/>
                <w:rFonts w:ascii="Times New Roman" w:hAnsi="Times New Roman" w:eastAsia="Times New Roman" w:cs="Times New Roman"/>
              </w:rPr>
              <w:t>Contrast or quantity</w:t>
            </w:r>
          </w:p>
        </w:tc>
        <w:tc>
          <w:tcPr>
            <w:tcW w:w="1290" w:type="dxa"/>
          </w:tcPr>
          <w:p>
            <w:pPr>
              <w:pStyle w:val="Normal"/>
            </w:pPr>
            <w:r>
              <w:rPr>
                <w:b/>
                <w:sz w:val="24"/>
                <w:szCs w:val="22"/>
                <w:lang w:val="en-US" w:eastAsia="en-US" w:bidi="ar-SA"/>
                <w:rFonts w:ascii="Times New Roman" w:hAnsi="Times New Roman" w:eastAsia="Times New Roman" w:cs="Times New Roman"/>
              </w:rPr>
              <w:t>Estimate</w:t>
            </w:r>
          </w:p>
        </w:tc>
        <w:tc>
          <w:tcPr>
            <w:tcW w:w="1365" w:type="dxa"/>
          </w:tcPr>
          <w:p>
            <w:pPr>
              <w:pStyle w:val="Normal"/>
            </w:pPr>
            <w:r>
              <w:rPr>
                <w:b/>
                <w:sz w:val="24"/>
                <w:szCs w:val="22"/>
                <w:lang w:val="en-US" w:eastAsia="en-US" w:bidi="ar-SA"/>
                <w:rFonts w:ascii="Times New Roman" w:hAnsi="Times New Roman" w:eastAsia="Times New Roman" w:cs="Times New Roman"/>
              </w:rPr>
              <w:t>95% CI</w:t>
            </w:r>
          </w:p>
        </w:tc>
        <w:tc>
          <w:tcPr>
            <w:tcW w:w="772" w:type="dxa"/>
          </w:tcPr>
          <w:p>
            <w:pPr>
              <w:pStyle w:val="Normal"/>
            </w:pPr>
            <w:r>
              <w:rPr>
                <w:b/>
                <w:sz w:val="24"/>
                <w:szCs w:val="22"/>
                <w:lang w:val="en-US" w:eastAsia="en-US" w:bidi="ar-SA"/>
                <w:rFonts w:ascii="Times New Roman" w:hAnsi="Times New Roman" w:eastAsia="Times New Roman" w:cs="Times New Roman"/>
              </w:rPr>
              <w:t>n</w:t>
            </w:r>
          </w:p>
        </w:tc>
        <w:tc>
          <w:tcPr>
            <w:tcW w:w="2429"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w:t>
            </w:r>
          </w:p>
        </w:tc>
        <w:tc>
          <w:tcPr>
            <w:tcW w:w="1365" w:type="dxa"/>
          </w:tcPr>
          <w:p>
            <w:pPr>
              <w:pStyle w:val="Normal"/>
            </w:pPr>
            <w:r>
              <w:rPr>
                <w:szCs w:val="22"/>
                <w:lang w:val="en-US" w:eastAsia="en-US" w:bidi="ar-SA"/>
                <w:rFonts w:ascii="Times New Roman" w:hAnsi="Times New Roman" w:eastAsia="Times New Roman" w:cs="Times New Roman"/>
                <w:sz w:val="24"/>
              </w:rPr>
              <w:t>p = 0.013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trPr>
        <w:tc>
          <w:tcPr>
            <w:tcW w:w="1909" w:type="dxa"/>
          </w:tcPr>
          <w:p>
            <w:pPr>
              <w:pStyle w:val="Normal"/>
            </w:pPr>
            <w:r>
              <w:rPr>
                <w:b/>
                <w:sz w:val="24"/>
                <w:szCs w:val="22"/>
                <w:lang w:val="en-US" w:eastAsia="en-US" w:bidi="ar-SA"/>
                <w:rFonts w:ascii="Times New Roman" w:hAnsi="Times New Roman" w:eastAsia="Times New Roman" w:cs="Times New Roman"/>
              </w:rPr>
              <w:t>Principle</w:t>
            </w:r>
          </w:p>
        </w:tc>
        <w:tc>
          <w:tcPr>
            <w:tcW w:w="3313" w:type="dxa"/>
          </w:tcPr>
          <w:p>
            <w:pPr>
              <w:pStyle w:val="Normal"/>
            </w:pPr>
            <w:r>
              <w:rPr>
                <w:b/>
                <w:sz w:val="24"/>
                <w:szCs w:val="22"/>
                <w:lang w:val="en-US" w:eastAsia="en-US" w:bidi="ar-SA"/>
                <w:rFonts w:ascii="Times New Roman" w:hAnsi="Times New Roman" w:eastAsia="Times New Roman" w:cs="Times New Roman"/>
              </w:rPr>
              <w:t>What it does</w:t>
            </w:r>
          </w:p>
        </w:tc>
        <w:tc>
          <w:tcPr>
            <w:tcW w:w="3283"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3283"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trPr>
        <w:tc>
          <w:tcPr>
            <w:tcW w:w="1629" w:type="dxa"/>
          </w:tcPr>
          <w:p>
            <w:pPr>
              <w:pStyle w:val="Normal"/>
            </w:pPr>
            <w:r>
              <w:rPr>
                <w:szCs w:val="22"/>
                <w:lang w:val="en-US" w:eastAsia="en-US" w:bidi="ar-SA"/>
                <w:rFonts w:ascii="Times New Roman" w:hAnsi="Times New Roman" w:eastAsia="Times New Roman" w:cs="Times New Roman"/>
                <w:sz w:val="20"/>
              </w:rPr>
              <w:t>Layer</w:t>
            </w:r>
          </w:p>
        </w:tc>
        <w:tc>
          <w:tcPr>
            <w:tcW w:w="3111" w:type="dxa"/>
          </w:tcPr>
          <w:p>
            <w:pPr>
              <w:pStyle w:val="Normal"/>
            </w:pPr>
            <w:r>
              <w:rPr>
                <w:b/>
                <w:sz w:val="20"/>
                <w:szCs w:val="22"/>
                <w:lang w:val="en-US" w:eastAsia="en-US" w:bidi="ar-SA"/>
                <w:rFonts w:ascii="Times New Roman" w:hAnsi="Times New Roman" w:eastAsia="Times New Roman" w:cs="Times New Roman"/>
              </w:rPr>
              <w:t>Component</w:t>
            </w:r>
          </w:p>
        </w:tc>
        <w:tc>
          <w:tcPr>
            <w:tcW w:w="1086"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679"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L0 Sensor</w:t>
            </w:r>
          </w:p>
        </w:tc>
        <w:tc>
          <w:tcPr>
            <w:tcW w:w="3111"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L1 Game Engine</w:t>
            </w:r>
          </w:p>
        </w:tc>
        <w:tc>
          <w:tcPr>
            <w:tcW w:w="3111"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L2 AI Adaptation</w:t>
            </w:r>
          </w:p>
        </w:tc>
        <w:tc>
          <w:tcPr>
            <w:tcW w:w="3111"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L3 Logging</w:t>
            </w:r>
          </w:p>
        </w:tc>
        <w:tc>
          <w:tcPr>
            <w:tcW w:w="3111"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L4 Clinical Output</w:t>
            </w:r>
          </w:p>
        </w:tc>
        <w:tc>
          <w:tcPr>
            <w:tcW w:w="3111"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L5 User-Facing Trajectory</w:t>
            </w:r>
          </w:p>
        </w:tc>
        <w:tc>
          <w:tcPr>
            <w:tcW w:w="3111"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1"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1"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trPr>
        <w:tc>
          <w:tcPr>
            <w:tcW w:type="dxa" w:w="1472"/>
          </w:tcPr>
          <w:p>
            <w:pPr>
              <w:pStyle w:val="Normal"/>
            </w:pPr>
            <w:r>
              <w:rPr>
                <w:b/>
                <w:sz w:val="24"/>
                <w:szCs w:val="22"/>
                <w:lang w:val="en-US" w:eastAsia="en-US" w:bidi="ar-SA"/>
                <w:rFonts w:ascii="Times New Roman" w:hAnsi="Times New Roman" w:eastAsia="Times New Roman" w:cs="Times New Roman"/>
              </w:rPr>
              <w:t>Register</w:t>
            </w:r>
          </w:p>
        </w:tc>
        <w:tc>
          <w:tcPr>
            <w:tcW w:type="dxa" w:w="5179"/>
          </w:tcPr>
          <w:p>
            <w:pPr>
              <w:pStyle w:val="Normal"/>
            </w:pPr>
            <w:r>
              <w:rPr>
                <w:b/>
                <w:sz w:val="24"/>
                <w:szCs w:val="22"/>
                <w:lang w:val="en-US" w:eastAsia="en-US" w:bidi="ar-SA"/>
                <w:rFonts w:ascii="Times New Roman" w:hAnsi="Times New Roman" w:eastAsia="Times New Roman" w:cs="Times New Roman"/>
              </w:rPr>
              <w:t>Contribution</w:t>
            </w:r>
          </w:p>
        </w:tc>
        <w:tc>
          <w:tcPr>
            <w:tcW w:type="dxa" w:w="1854"/>
          </w:tcPr>
          <w:p>
            <w:pPr>
              <w:pStyle w:val="Normal"/>
            </w:pPr>
            <w:r>
              <w:rPr>
                <w:b/>
                <w:sz w:val="24"/>
                <w:szCs w:val="22"/>
                <w:lang w:val="en-US" w:eastAsia="en-US" w:bidi="ar-SA"/>
                <w:rFonts w:ascii="Times New Roman" w:hAnsi="Times New Roman" w:eastAsia="Times New Roman" w:cs="Times New Roman"/>
              </w:rPr>
              <w:t>Stated in</w:t>
            </w:r>
          </w:p>
        </w:tc>
      </w:tr>
      <w:t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jc w:val="both"/>
      </w:pPr>
      <w:r>
        <w:t>Stage 3B extends the modality inventory a third step - iPad touch steering (on-screen arrows, with keyboard, controller and tilt as alternatives, and the input mode actually used logged per run in the session record) - so the programme now spans standing whole-body input (Stage 2), seated hand input (Stage 3) and seated touch input (Stage 3B). Three points keep this from contaminating the inferences. First, every confirmatory contrast is internally single-modality: the score-improvement/non-return paradox arose entirely within the Stage-2 panel cohort, the age gradient entirely within the Stage-3 remote cohort, and the Stage-3B 2x2 contrasts (adaptive against static, zero-failure against failure-possible) are randomised within one touch-input fleet - so input modality attaches only to the between-stage comparisons, which are already calibrated as non-causal (§6.7). Second, the randomised within-cohort study specified above holds hardware, software and input device constant across arms, which is the design that finally separates frame from modality. Third, the gradient itself is theoretically informative rather than mere noise: if failure produced by one's own balance speaks more directly to bodily decline than failure produced by one's fingers, then input modality is an identity-exposure dial, and the framework can use it as one - a graduated-embodiment pathway in which engagement begins at the lowest-stake modality (touch), moves through seated foot-pad play, and only then returns to the standing panel, letting confidence accumulate before the body itself is back on trial. On that reading, the modality differences across the programme's stages are not a flaw to explain away but an accidental first traversal of the very ladder the re-attachment design (§7.9) would build deliberately.</w:t>
      </w:r>
    </w:p>
    <w:p>
      <w:pPr>
        <w:pStyle w:val="Heading3"/>
      </w:pPr>
      <w:r>
        <w:t>8.5.9 Attrition-Like Dropout</w:t>
      </w:r>
    </w:p>
    <w:p>
      <w:pPr>
        <w:jc w:val="both"/>
      </w:pPr>
      <w:r>
        <w:t>Concern: the simplest rival explanation reads the empty station as ordinary attrition - users drift away because the machine is mildly boring, slightly inconvenient, or simply loses novelty, so that no behavioural-economics account of identity threat is needed to explain why older adults stop using a piece of equipment. Response: this rival deserves to be named because it is the account an examiner of parsimony should reach for first, and the programme's data speak to it directly. A gradual-decay account predicts declining session frequency before exit and occasional casual returns afterwards; the Stage-2 record shows neither - exits clustered abruptly at or before three cycles, and none of the twenty-one disengaged participants re-engaged within the observation window (Table 5.2). Attrition also cannot accommodate the objective-score-improvement/non-return paradox (§5.6): boredom does not select for players whose recorded performance was rising. Most directly, attrition is indifferent to framing, so it predicts no difference when the clinical frame is removed while the game mechanics stay the same; the substantially higher post-failure return in the decoupled Stage-3 cohort (§6.5) is therefore evidence against attrition as the governing account, subject to the between-cohort limits stated in §6.7. What survives calibration is bounded: a residual attrition component in any individual exit cannot be excluded, and the short observation windows leave slow-decay dynamics unmeasured; the longitudinal follow-up specified in §8.8 is the instrument that would bound it.</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jc w:val="both"/>
      </w:pPr>
      <w:r>
        <w:t>A related rival, raised by the programme's industrial partner in draft review and conceded here, operates at the group level: non-use may be sustained by a collective, socially shared narrative - a common-room conclusion that the station signifies decline - rather than, or in addition to, each individual's private appraisal. The three parties of this section are also a narrative community, and a shared story travels between them faster than any individual verdict. This reading has explanatory reach the individual account lacks: it can produce pre-emptive avoidance in residents who never touched the device - and the majority of Stage-1 respondents reported no prior FRA use - because a narrative, unlike an adverse first experience, is transmissible second-hand. The programme's instruments were aimed at the individual level and collected no sociometric or narrative-circulation data, so this rival cannot be nullified with the present evidence; it is acknowledged as a plausible systemic amplifier rather than argued away. Two points keep the concession orderly. First, the group reading is complementary, not displacing: the first interpretive consultation read the Stage-3 commitment gap through group dynamics (§6.8A), and a collective narrative still needs seed events - individual adverse verdicts of exactly the kind FIAS describes - to crystallise around. Second, the concession converts into a design requirement rather than a dead end: any intervention that reaches only the individual leaves the narrative layer intact, so the confirmatory programme should carry at least one group-level design response; §8.8 states one.</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t>The build's score economy is itself a design argument, and its two generations record a deliberate progression rather than an oversight corrected. The deployed Stage-2 and Stage-3 builds kept scoring intentionally thin - distance plus coins - for two reasons: for largely non-gaming older players the score had to be legible at a single glance, and a rich scoring apparatus makes the score more salient exactly where the programme's evidence warns that salient evaluation drives withdrawal. Once the zero-failure and trajectory findings had matured, the Stage-3B build could afford motivational depth - but enriched the economy on the gain side only, borrowing the grammar of role-playing games, in which experience points never decrease: a clean-riding combo multiplier (x1 to x3) that an obstacle bump resets, skill-dodge bonuses for near misses, a collection rate shown in place of any missed-coin penalty, and a persistent experience total with skier levels that accumulates across a participant's sessions. A deduction-based alternative (for example minus 100 points per hit) was considered and rejected on the programme's own grounds: under loss aversion, subtracting visible points converts each bump into a quantified verdict, re-importing into the scoreboard the loss economy that zero-failure design (§2.6.2C, §5.3.10) exists to remove. In the final economy, failure costs future earning rate - the reset multiplier - but never confiscates banked points; the distinction between opportunity cost and confiscation is the same distinction the framework formalises between learning-trajectory and endowment-protective appraisals (§7.3), now expressed inside the scoreboard itself. The persistent level system serves the sessions-played co-primary outcome directly: it gives a reason to return that does not depend on beating one's own record, because every session adds experience regardless of performance. The scoring formula is identical in both arms and both failure modes - it is an instrument property, not an experimental factor - and was finalised, with the rejected alternative recorded, before any participant played (protocol Amendment A).</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jc w:val="both"/>
      </w:pPr>
      <w:r>
        <w:t>A further proposition addresses the group-level layer conceded in §8.6B. A group-level problem invites a group-form counter, and role-playing structures are the strongest candidate in the game-design repertoire: a role separates the player from the identity under threat, progress-for-attempting mechanics give every session value regardless of measured performance, and cooperative framing can turn social friction into social support. Three implementation constraints, each raised and weighed during review, immediately bound the idea. Older adults in the target settings are largely non-gamers, and conventional role-playing conventions - character sheets, quest logs, progression trees - carry exactly the kind of entry cost this thesis shows produces avoidance. Role-play is cognitively demanding, and the loads it imposes - role-keeping, rule-tracking, narrative memory - are the loads that rise in cost with age. And the clinical acts themselves - an assessment, a rehabilitation session - are irreducibly individual, so a group form cannot simply be imposed on practices that happen one person at a time.</w:t>
      </w:r>
    </w:p>
    <w:p>
      <w:pPr>
        <w:jc w:val="both"/>
      </w:pPr>
      <w:r>
        <w:t>The proposition that survives these constraints is AI-managed invisible role-play, under a design principle this programme's own artefacts already instantiate: high system intelligence, low user cognitive burden. In the deployed builds the player never saw the difficulty engine; the rule agent carried the adaptive machinery while the player simply played (§5.3.5, §8.9). The proposition extends the same asymmetry one level up: the system holds the role-play architecture - persona, narrative continuity, progress-for-attempting, cooperative framing - and the user experiences only simple, dignified play. The role itself becomes an adaptive variable: where a conventional game predefines roles and asks the player to conform, here the system continuously re-fits the role to the player's observed capacities and responses, the same move the framework already makes for challenge parameters, applied to narrative content. The individual nature of clinical acts is answered by decoupling the social layer from the clinical act - the act stays individual while membership is collective, through asynchronous contribution to shared goals or system-supplied companions - and two safety constraints are non-negotiable: individual clinical metrics are never socially visible (comparative displays would amplify the very narrative the design targets, so contribution is visible and performance is not), and the fiction must not be infantilising, since a persona that reads as childish would reproduce the identity threat in costume (§6.12).</w:t>
      </w:r>
    </w:p>
    <w:p>
      <w:pPr>
        <w:jc w:val="both"/>
      </w:pPr>
      <w:r>
        <w:t>The furthest reach of the proposition is stated last because it is the least established: role-mediated play as scaffolding for the person's own adaptive-learning capacity. A well-fitted role embodies the learning-trajectory appraisal - inside the fiction, every attempt earns progress and a setback is plot rather than verdict - so the player practises trajectory-thinking without being taught it, and the design aim is that the appraisal eventually transfers from character to self. This is a three-link hypothesis chain: that a system can fit roles to players is buildable and testable; that fitted roles improve engagement is testable with the methods of this programme; that role-mediated practice transfers to the person's own appraisal habits is the hard link, a rate-and-transfer claim for which this thesis offers no evidence and which would require its own instruments - shifts in how participants speak about their own setbacks, appraisal measures taken outside the game, and behaviour observed after the fiction is withdrawn. The scaffold must also fade: the role begins as a shield, protecting identity by not being the self, and succeeds only if it ends as a bridge back to the self - how that hand-off is designed is a research question in its own right. The proposition is the natural continuation of the person-conditioned adaptation programme of §9.8B, and it preserves this thesis's calibration of the artificial-intelligence role: the system does not replace the human capacity it targets; it scaffolds it.</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trPr>
        <w:tc>
          <w:tcPr>
            <w:tcW w:type="dxa" w:w="1575"/>
          </w:tcPr>
          <w:p>
            <w:r>
              <w:rPr>
                <w:b/>
              </w:rPr>
              <w:t>Period</w:t>
            </w:r>
          </w:p>
        </w:tc>
        <w:tc>
          <w:tcPr>
            <w:tcW w:type="dxa" w:w="2384"/>
          </w:tcPr>
          <w:p>
            <w:r>
              <w:rPr>
                <w:b/>
              </w:rPr>
              <w:t>Activity</w:t>
            </w:r>
          </w:p>
        </w:tc>
        <w:tc>
          <w:tcPr>
            <w:tcW w:type="dxa" w:w="2460"/>
          </w:tcPr>
          <w:p>
            <w:r>
              <w:rPr>
                <w:b/>
              </w:rPr>
              <w:t>Knowledge position going in</w:t>
            </w:r>
          </w:p>
        </w:tc>
        <w:tc>
          <w:tcPr>
            <w:tcW w:type="dxa" w:w="3422"/>
          </w:tcPr>
          <w:p>
            <w:r>
              <w:rPr>
                <w:b/>
              </w:rPr>
              <w:t>What the activity produced</w:t>
            </w:r>
          </w:p>
        </w:tc>
        <w:tc>
          <w:tcPr>
            <w:tcW w:type="dxa" w:w="3596"/>
          </w:tcPr>
          <w:p>
            <w:r>
              <w:rPr>
                <w:b/>
              </w:rPr>
              <w:t>What was revised or nullified</w:t>
            </w:r>
          </w:p>
        </w:tc>
      </w:tr>
      <w:t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Simple non-exposure account nullified: non-return was driven by prior users, not by residents who had never encountered the device</w:t>
            </w:r>
          </w:p>
        </w:tc>
      </w:tr>
      <w:tr>
        <w:tc>
          <w:tcPr>
            <w:tcW w:type="dxa" w:w="1575"/>
          </w:tcPr>
          <w:p>
            <w:r>
              <w:t>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the objective-score-improvement/non-return paradox</w:t>
            </w:r>
          </w:p>
        </w:tc>
        <w:tc>
          <w:tcPr>
            <w:tcW w:type="dxa" w:w="3596"/>
          </w:tcPr>
          <w:p>
            <w:r>
              <w:t>Competence account nullified (scores improved yet players did not return); FIDS alone could no longer carry the account - the transition to FIAS, specified in Chapter 5, is the pivotal move of the research journey</w:t>
            </w:r>
          </w:p>
        </w:tc>
      </w:tr>
      <w:tr>
        <w:tc>
          <w:tcPr>
            <w:tcW w:type="dxa" w:w="1575"/>
          </w:tcPr>
          <w:p>
            <w:r>
              <w:t>March-April 2026</w:t>
            </w:r>
          </w:p>
        </w:tc>
        <w:tc>
          <w:tcPr>
            <w:tcW w:type="dxa" w:w="2384"/>
          </w:tcPr>
          <w:p>
            <w:r>
              <w:t>Stage 3 remote decoupled deployment (register N=120)</w:t>
            </w:r>
          </w:p>
        </w:tc>
        <w:tc>
          <w:tcPr>
            <w:tcW w:type="dxa" w:w="2460"/>
          </w:tcPr>
          <w:p>
            <w:r>
              <w:t>FIAS as the candidate account; frame-sensitive and dispositional readings as rivals</w:t>
            </w:r>
          </w:p>
        </w:tc>
        <w:tc>
          <w:tcPr>
            <w:tcW w:type="dxa" w:w="3422"/>
          </w:tcPr>
          <w:p>
            <w:r>
              <w:t>A substantial behavioural shift once the assessment frame was removed; the commitment gap</w:t>
            </w:r>
          </w:p>
        </w:tc>
        <w:tc>
          <w:tcPr>
            <w:tcW w:type="dxa" w:w="3596"/>
          </w:tcPr>
          <w:p>
            <w:r>
              <w:t>The dispositional account (H0) could not accommodate the between-cohort shift; frame-sensitivity retained as the calibrated reading</w:t>
            </w:r>
          </w:p>
        </w:tc>
      </w:tr>
      <w:tr>
        <w:tc>
          <w:tcPr>
            <w:tcW w:type="dxa" w:w="1575"/>
          </w:tcPr>
          <w:p>
            <w:r>
              <w:t>March-August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Clinical corroboration of the abandonment window, verdict attribution and reward economics; the build judged suitable for FRA practice</w:t>
            </w:r>
          </w:p>
        </w:tc>
        <w:tc>
          <w:tcPr>
            <w:tcW w:type="dxa" w:w="3596"/>
          </w:tcPr>
          <w:p>
            <w:r>
              <w:t>Technology-difficulty as the primary barrier was challenged from practice; coaching-at-scale was revised on cost grounds (social cost and therapist scarcity)</w:t>
            </w:r>
          </w:p>
        </w:tc>
      </w:tr>
      <w:t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H-3B under test; the design allows the adaptive-arm advantage itself to be nullified]</w:t>
            </w:r>
          </w:p>
        </w:tc>
      </w:tr>
      <w:tr>
        <w:tc>
          <w:tcPr>
            <w:tcW w:type="dxa" w:w="1575"/>
          </w:tcPr>
          <w:p>
            <w:r>
              <w:t>October 2026</w:t>
            </w:r>
          </w:p>
        </w:tc>
        <w:tc>
          <w:tcPr>
            <w:tcW w:type="dxa" w:w="2384"/>
          </w:tcPr>
          <w:p>
            <w:r>
              <w:t>Programme close and thesis completion</w:t>
            </w:r>
          </w:p>
        </w:tc>
        <w:tc>
          <w:tcPr>
            <w:tcW w:type="dxa" w:w="2460"/>
          </w:tcPr>
          <w:p>
            <w:r>
              <w:t>-</w:t>
            </w:r>
          </w:p>
        </w:tc>
        <w:tc>
          <w:tcPr>
            <w:tcW w:type="dxa" w:w="3422"/>
          </w:tcPr>
          <w:p>
            <w:r>
              <w:t>The calibrated evidential chain: observed, interpreted, demonstrated in part, hypothesised</w:t>
            </w:r>
          </w:p>
        </w:tc>
        <w:tc>
          <w:tcPr>
            <w:tcW w:type="dxa" w:w="3596"/>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jc w:val="both"/>
      </w:pPr>
      <w:r>
        <w:t>The finding's shortest statement is this: the threat lives in the artefact - in the verdict a clinical station stands ready to deliver - while the abandonment is its observable shadow; and the mechanism connecting the two is the participant's own loss-averse appraisal and collapsed self-efficacy, not the FRA's difficulty and not the game's design.</w:t>
      </w:r>
    </w:p>
    <w:p>
      <w:pPr>
        <w:pStyle w:val="Heading2"/>
      </w:pPr>
      <w:r>
        <w:t>9.3A The Chain of Effects: The Argument in Logical Order</w:t>
      </w:r>
    </w:p>
    <w:p>
      <w:pPr>
        <w:jc w:val="both"/>
      </w:pPr>
      <w:r>
        <w:t xml:space="preserve">The programme can now be read three ways: in calendar order (Table 3.1A), as a diary of what was learned and given up (Table 9.1), and - here - as a chain of effects, the argument in logical order. Table 9.3 states each link, its principal evidence, and its evidential status in the vocabulary this thesis has used throughout: observed, eliminated, interpreted, designed, under test, conceded. Two provenance rules govern the chain. Construct names appear at the link where the journey produced them - the self-efficacy reading of dropout belongs to the early conjecture, and FIAS was named only after Stage 2. And the Stage-1 never-users are deliberately not classified under FIAS: they had no failure experience to appraise. Stage 1 concerned the un-gamified FRA as then operated - a therapist-supported station whose demanding assessment protocol deterred participation, and whose adverse verdict carried practical consequences: prescribed balance training, and a recommendation against walking alone and freely. Fear of the verdict therefore had teeth before any game existed. The stance that later crystallised in the Stage-2 deployment's qualitative record - summarised in composite paraphrase as 'the game is fun, gamification is beneficial, the FRA is a good tool - but I do not want it telling me where my health problems are' - dates the verdict-fear motif to participants who had played the game and liked it: the feared object was the verdict, never the gameplay. </w:t>
      </w:r>
      <w:r>
        <w:rPr>
          <w:highlight w:val="yellow"/>
        </w:rPr>
        <w:t>[AUTHOR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trPr>
        <w:tc>
          <w:tcPr>
            <w:tcW w:w="661" w:type="dxa"/>
          </w:tcPr>
          <w:p>
            <w:r>
              <w:rPr>
                <w:b/>
              </w:rPr>
              <w:t>Link</w:t>
            </w:r>
          </w:p>
        </w:tc>
        <w:tc>
          <w:tcPr>
            <w:tcW w:w="3024" w:type="dxa"/>
          </w:tcPr>
          <w:p>
            <w:r>
              <w:rPr>
                <w:b/>
              </w:rPr>
              <w:t>Effect / claim</w:t>
            </w:r>
          </w:p>
        </w:tc>
        <w:tc>
          <w:tcPr>
            <w:tcW w:w="3024" w:type="dxa"/>
          </w:tcPr>
          <w:p>
            <w:r>
              <w:rPr>
                <w:b/>
              </w:rPr>
              <w:t>Principal evidence</w:t>
            </w:r>
          </w:p>
        </w:tc>
        <w:tc>
          <w:tcPr>
            <w:tcW w:w="1796" w:type="dxa"/>
          </w:tcPr>
          <w:p>
            <w:r>
              <w:rPr>
                <w:b/>
              </w:rPr>
              <w:t>Status</w:t>
            </w:r>
          </w:p>
        </w:tc>
      </w:tr>
      <w:tr>
        <w:tc>
          <w:tcPr>
            <w:tcW w:w="661" w:type="dxa"/>
          </w:tcPr>
          <w:p>
            <w:r>
              <w:t>1</w:t>
            </w:r>
          </w:p>
        </w:tc>
        <w:tc>
          <w:tcPr>
            <w:tcW w:w="3024" w:type="dxa"/>
          </w:tcPr>
          <w:p>
            <w:r>
              <w:t>Clinically valuable FRA stations fall silent despite acknowledged benefit</w:t>
            </w:r>
          </w:p>
        </w:tc>
        <w:tc>
          <w:tcPr>
            <w:tcW w:w="3024" w:type="dxa"/>
          </w:tcPr>
          <w:p>
            <w:r>
              <w:t>Site observation, 2023; Stage-1 utilisation record (Chapter 4)</w:t>
            </w:r>
          </w:p>
        </w:tc>
        <w:tc>
          <w:tcPr>
            <w:tcW w:w="1796" w:type="dxa"/>
          </w:tcPr>
          <w:p>
            <w:r>
              <w:t>Observed</w:t>
            </w:r>
          </w:p>
        </w:tc>
      </w:tr>
      <w:tr>
        <w:tc>
          <w:tcPr>
            <w:tcW w:w="661" w:type="dxa"/>
          </w:tcPr>
          <w:p>
            <w:r>
              <w:t>2</w:t>
            </w:r>
          </w:p>
        </w:tc>
        <w:tc>
          <w:tcPr>
            <w:tcW w:w="3024" w:type="dxa"/>
          </w:tcPr>
          <w:p>
            <w:r/>
            <w:r>
              <w:t>On the un-gamified, therapist-supported FRA: non-return concentrates among prior users with an adverse first experience; participation deterred by the demanding assessment and by the verdict's consequences (prescribed training, restricted independent walking)</w:t>
            </w:r>
          </w:p>
        </w:tc>
        <w:tc>
          <w:tcPr>
            <w:tcW w:w="3024" w:type="dxa"/>
          </w:tcPr>
          <w:p>
            <w:r/>
            <w:r>
              <w:t>Stage-1 survey, N=200, plus facility operating practice (Chapter 4)</w:t>
            </w:r>
          </w:p>
        </w:tc>
        <w:tc>
          <w:tcPr>
            <w:tcW w:w="1796" w:type="dxa"/>
          </w:tcPr>
          <w:p>
            <w:r>
              <w:t>Observed; self-efficacy (FIDS) reading conjectured</w:t>
            </w:r>
          </w:p>
        </w:tc>
      </w:tr>
      <w:tr>
        <w:tc>
          <w:tcPr>
            <w:tcW w:w="661" w:type="dxa"/>
          </w:tcPr>
          <w:p>
            <w:r>
              <w:t>3</w:t>
            </w:r>
          </w:p>
        </w:tc>
        <w:tc>
          <w:tcPr>
            <w:tcW w:w="3024" w:type="dxa"/>
          </w:tcPr>
          <w:p>
            <w:r>
              <w:t>An acceptance-compliant, gamified FRA is still abandoned</w:t>
            </w:r>
          </w:p>
        </w:tc>
        <w:tc>
          <w:tcPr>
            <w:tcW w:w="3024" w:type="dxa"/>
          </w:tcPr>
          <w:p>
            <w:r>
              <w:t>Stage 2: 70% disengaged at &lt;=3 cycles; 0/21 re-engagement (Chapter 5)</w:t>
            </w:r>
          </w:p>
        </w:tc>
        <w:tc>
          <w:tcPr>
            <w:tcW w:w="1796" w:type="dxa"/>
          </w:tcPr>
          <w:p>
            <w:r>
              <w:t>Observed</w:t>
            </w:r>
          </w:p>
        </w:tc>
      </w:tr>
      <w:tr>
        <w:tc>
          <w:tcPr>
            <w:tcW w:w="661" w:type="dxa"/>
          </w:tcPr>
          <w:p>
            <w:r>
              <w:t>4</w:t>
            </w:r>
          </w:p>
        </w:tc>
        <w:tc>
          <w:tcPr>
            <w:tcW w:w="3024" w:type="dxa"/>
          </w:tcPr>
          <w:p>
            <w:r>
              <w:t>Difficulty and competence cannot carry the account</w:t>
            </w:r>
          </w:p>
        </w:tc>
        <w:tc>
          <w:tcPr>
            <w:tcW w:w="3024" w:type="dxa"/>
          </w:tcPr>
          <w:p>
            <w:r>
              <w:t>Score-improvement/non-return paradox (§5.6); satisfaction among sustainers; attrition rival answered (§8.5.9)</w:t>
            </w:r>
          </w:p>
        </w:tc>
        <w:tc>
          <w:tcPr>
            <w:tcW w:w="1796" w:type="dxa"/>
          </w:tcPr>
          <w:p>
            <w:r>
              <w:t>Eliminated (within-cohort)</w:t>
            </w:r>
          </w:p>
        </w:tc>
      </w:tr>
      <w:tr>
        <w:tc>
          <w:tcPr>
            <w:tcW w:w="661" w:type="dxa"/>
          </w:tcPr>
          <w:p>
            <w:r>
              <w:t>5</w:t>
            </w:r>
          </w:p>
        </w:tc>
        <w:tc>
          <w:tcPr>
            <w:tcW w:w="3024" w:type="dxa"/>
          </w:tcPr>
          <w:p>
            <w:r>
              <w:t>Self-efficacy explains the dropout moment but not its permanence</w:t>
            </w:r>
          </w:p>
        </w:tc>
        <w:tc>
          <w:tcPr>
            <w:tcW w:w="3024" w:type="dxa"/>
          </w:tcPr>
          <w:p>
            <w:r>
              <w:t>§2.4.4; Stage-2 pattern of absolute, non-returning exits</w:t>
            </w:r>
          </w:p>
        </w:tc>
        <w:tc>
          <w:tcPr>
            <w:tcW w:w="1796" w:type="dxa"/>
          </w:tcPr>
          <w:p>
            <w:r>
              <w:t>Partial - first diagnostic layer</w:t>
            </w:r>
          </w:p>
        </w:tc>
      </w:tr>
      <w:tr>
        <w:tc>
          <w:tcPr>
            <w:tcW w:w="661" w:type="dxa"/>
          </w:tcPr>
          <w:p>
            <w:r>
              <w:t>6</w:t>
            </w:r>
          </w:p>
        </w:tc>
        <w:tc>
          <w:tcPr>
            <w:tcW w:w="3024" w:type="dxa"/>
          </w:tcPr>
          <w:p>
            <w:r>
              <w:t>Loss aversion on an identity-level asset makes retry a gamble on unwelcome bodily evidence; FIAS named</w:t>
            </w:r>
          </w:p>
        </w:tc>
        <w:tc>
          <w:tcPr>
            <w:tcW w:w="3024" w:type="dxa"/>
          </w:tcPr>
          <w:p>
            <w:r>
              <w:t>§5.6–5.7 appraisal account; expert corroboration (§6.12, Appendix H)</w:t>
            </w:r>
          </w:p>
        </w:tc>
        <w:tc>
          <w:tcPr>
            <w:tcW w:w="1796" w:type="dxa"/>
          </w:tcPr>
          <w:p>
            <w:r>
              <w:t>Interpreted (construct, post-Stage-2)</w:t>
            </w:r>
          </w:p>
        </w:tc>
      </w:tr>
      <w:tr>
        <w:tc>
          <w:tcPr>
            <w:tcW w:w="661" w:type="dxa"/>
          </w:tcPr>
          <w:p>
            <w:r>
              <w:t>7</w:t>
            </w:r>
          </w:p>
        </w:tc>
        <w:tc>
          <w:tcPr>
            <w:tcW w:w="3024" w:type="dxa"/>
          </w:tcPr>
          <w:p>
            <w:r>
              <w:t>The same mechanics without the clinical attachment are accepted and returned to</w:t>
            </w:r>
          </w:p>
        </w:tc>
        <w:tc>
          <w:tcPr>
            <w:tcW w:w="3024" w:type="dxa"/>
          </w:tcPr>
          <w:p>
            <w:r>
              <w:t>Stage 3: 85.4% in-session retention (65-80); return restored (Chapter 6)</w:t>
            </w:r>
          </w:p>
        </w:tc>
        <w:tc>
          <w:tcPr>
            <w:tcW w:w="1796" w:type="dxa"/>
          </w:tcPr>
          <w:p>
            <w:r>
              <w:t>Observed; design eliminated (consistent-with, §6.7 calibration)</w:t>
            </w:r>
          </w:p>
        </w:tc>
      </w:tr>
      <w:tr>
        <w:tc>
          <w:tcPr>
            <w:tcW w:w="661" w:type="dxa"/>
          </w:tcPr>
          <w:p>
            <w:r>
              <w:t>8</w:t>
            </w:r>
          </w:p>
        </w:tc>
        <w:tc>
          <w:tcPr>
            <w:tcW w:w="3024" w:type="dxa"/>
          </w:tcPr>
          <w:p>
            <w:r>
              <w:t>A boundary condition for gamification theory: the theory holds until the game is attached to an identity-relevant clinical verdict</w:t>
            </w:r>
          </w:p>
        </w:tc>
        <w:tc>
          <w:tcPr>
            <w:tcW w:w="3024" w:type="dxa"/>
          </w:tcPr>
          <w:p>
            <w:r>
              <w:t>Stages 2-3 jointly (§8.1)</w:t>
            </w:r>
          </w:p>
        </w:tc>
        <w:tc>
          <w:tcPr>
            <w:tcW w:w="1796" w:type="dxa"/>
          </w:tcPr>
          <w:p>
            <w:r>
              <w:t>Interpreted - scope finding</w:t>
            </w:r>
          </w:p>
        </w:tc>
      </w:tr>
      <w:tr>
        <w:tc>
          <w:tcPr>
            <w:tcW w:w="661" w:type="dxa"/>
          </w:tcPr>
          <w:p>
            <w:r>
              <w:t>9</w:t>
            </w:r>
          </w:p>
        </w:tc>
        <w:tc>
          <w:tcPr>
            <w:tcW w:w="3024" w:type="dxa"/>
          </w:tcPr>
          <w:p>
            <w:r>
              <w:t>Adaptive learning with zero-failure presentation as the design counter</w:t>
            </w:r>
          </w:p>
        </w:tc>
        <w:tc>
          <w:tcPr>
            <w:tcW w:w="3024" w:type="dxa"/>
          </w:tcPr>
          <w:p>
            <w:r>
              <w:t>Framework (Chapter 7); Stage 3B pre-registered 2x2 (§8.8)</w:t>
            </w:r>
          </w:p>
        </w:tc>
        <w:tc>
          <w:tcPr>
            <w:tcW w:w="1796" w:type="dxa"/>
          </w:tcPr>
          <w:p>
            <w:r>
              <w:t>Designed; under test</w:t>
            </w:r>
          </w:p>
        </w:tc>
      </w:tr>
      <w:tr>
        <w:tc>
          <w:tcPr>
            <w:tcW w:w="661" w:type="dxa"/>
          </w:tcPr>
          <w:p>
            <w:r>
              <w:t>10</w:t>
            </w:r>
          </w:p>
        </w:tc>
        <w:tc>
          <w:tcPr>
            <w:tcW w:w="3024" w:type="dxa"/>
          </w:tcPr>
          <w:p>
            <w:r>
              <w:t>Habit formation, appraisal transfer, and the group-narrative layer</w:t>
            </w:r>
          </w:p>
        </w:tc>
        <w:tc>
          <w:tcPr>
            <w:tcW w:w="3024" w:type="dxa"/>
          </w:tcPr>
          <w:p>
            <w:r>
              <w:t>§8.6B concession; §8.8 propositions; §9.8B</w:t>
            </w:r>
          </w:p>
        </w:tc>
        <w:tc>
          <w:tcPr>
            <w:tcW w:w="1796" w:type="dxa"/>
          </w:tcPr>
          <w:p>
            <w:r>
              <w:t>Hypothesised / conceded</w:t>
            </w:r>
          </w:p>
        </w:tc>
      </w:tr>
    </w:tbl>
    <w:p>
      <w:pPr>
        <w:pStyle w:val="FigureCaption"/>
      </w:pPr>
      <w:r>
        <w:t>Table 9.3. The chain of effects: each link of the argument, its principal evidence, and its evidential status. Constructs are dated to the link where the journey produced them.</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jc w:val="both"/>
      </w:pPr>
      <w:r>
        <w:t>The role-adaptive proposition of §8.8 is the fullest expression of this extension: person-conditioned adaptation applied not only to challenge parameters but to the narrative role itself, with the design aim that what ultimately develops is not the system's model of the person but the person's own adaptive-learning capacity.</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trPr>
        <w:tc>
          <w:tcPr>
            <w:tcW w:w="1748" w:type="dxa"/>
          </w:tcPr>
          <w:p>
            <w:pPr>
              <w:pStyle w:val="Normal"/>
            </w:pPr>
            <w:r>
              <w:rPr>
                <w:b/>
                <w:sz w:val="24"/>
                <w:szCs w:val="22"/>
                <w:lang w:val="en-US" w:eastAsia="en-US" w:bidi="ar-SA"/>
                <w:rFonts w:ascii="Times New Roman" w:hAnsi="Times New Roman" w:eastAsia="Times New Roman" w:cs="Times New Roman"/>
              </w:rPr>
              <w:t>Dimension</w:t>
            </w:r>
          </w:p>
        </w:tc>
        <w:tc>
          <w:tcPr>
            <w:tcW w:w="3229"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528"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trPr>
        <w:tc>
          <w:tcPr>
            <w:tcW w:w="1989" w:type="dxa"/>
          </w:tcPr>
          <w:p>
            <w:pPr>
              <w:pStyle w:val="Normal"/>
            </w:pPr>
            <w:r>
              <w:rPr>
                <w:b/>
                <w:sz w:val="24"/>
                <w:szCs w:val="22"/>
                <w:lang w:val="en-US" w:eastAsia="en-US" w:bidi="ar-SA"/>
                <w:rFonts w:ascii="Times New Roman" w:hAnsi="Times New Roman" w:eastAsia="Times New Roman" w:cs="Times New Roman"/>
              </w:rPr>
              <w:t>Construct</w:t>
            </w:r>
          </w:p>
        </w:tc>
        <w:tc>
          <w:tcPr>
            <w:tcW w:w="6516"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