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t>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jc w:val="both"/>
      </w:pPr>
      <w:r>
        <w:t>Stage 3B extends the modality inventory a third step - iPad touch steering (on-screen arrows, with keyboard, controller and tilt as alternatives, and the input mode actually used logged per run in the session record) - so the programme now spans standing whole-body input (Stage 2), seated hand input (Stage 3) and seated touch input (Stage 3B). Three points keep this from contaminating the inferences. First, every confirmatory contrast is internally single-modality: the score-improvement/non-return paradox arose entirely within the Stage-2 panel cohort, the age gradient entirely within the Stage-3 remote cohort, and the Stage-3B 2x2 contrasts (adaptive against static, zero-failure against failure-possible) are randomised within one touch-input fleet - so input modality attaches only to the between-stage comparisons, which are already calibrated as non-causal (§6.7). Second, the randomised within-cohort study specified above holds hardware, software and input device constant across arms, which is the design that finally separates frame from modality. Third, the gradient itself is theoretically informative rather than mere noise: if failure produced by one's own balance speaks more directly to bodily decline than failure produced by one's fingers, then input modality is an identity-exposure dial, and the framework can use it as one - a graduated-embodiment pathway in which engagement begins at the lowest-stake modality (touch), moves through seated foot-pad play, and only then returns to the standing panel, letting confidence accumulate before the body itself is back on trial. On that reading, the modality differences across the programme's stages are not a flaw to explain away but an accidental first traversal of the very ladder the re-attachment design (§7.9) would build deliberately.</w:t>
      </w:r>
    </w:p>
    <w:p>
      <w:pPr>
        <w:pStyle w:val="Heading3"/>
      </w:pPr>
      <w:r>
        <w:t>8.5.9 Attrition-Like Dropout</w:t>
      </w:r>
    </w:p>
    <w:p>
      <w:pPr>
        <w:jc w:val="both"/>
      </w:pPr>
      <w:r>
        <w:t>Concern: the simplest rival explanation reads the empty station as ordinary attrition - users drift away because the machine is mildly boring, slightly inconvenient, or simply loses novelty, so that no behavioural-economics account of identity threat is needed to explain why older adults stop using a piece of equipment. Response: this rival deserves to be named because it is the account an examiner of parsimony should reach for first, and the programme's data speak to it directly. A gradual-decay account predicts declining session frequency before exit and occasional casual returns afterwards; the Stage-2 record shows neither - exits clustered abruptly at or before three cycles, and none of the twenty-one disengaged participants re-engaged within the observation window (Table 5.2). Attrition also cannot accommodate the objective-score-improvement/non-return paradox (§5.6): boredom does not select for players whose recorded performance was rising. Most directly, attrition is indifferent to framing, so it predicts no difference when the clinical frame is removed while the game mechanics stay the same; the substantially higher post-failure return in the decoupled Stage-3 cohort (§6.5) is therefore evidence against attrition as the governing account, subject to the between-cohort limits stated in §6.7. What survives calibration is bounded: a residual attrition component in any individual exit cannot be excluded, and the short observation windows leave slow-decay dynamics unmeasured; the longitudinal follow-up specified in §8.8 is the instrument that would bound it.</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jc w:val="both"/>
      </w:pPr>
      <w:r>
        <w:t>A related rival, raised by the programme's industrial partner in draft review and conceded here, operates at the group level: non-use may be sustained by a collective, socially shared narrative - a common-room conclusion that the station signifies decline - rather than, or in addition to, each individual's private appraisal. The three parties of this section are also a narrative community, and a shared story travels between them faster than any individual verdict. This reading has explanatory reach the individual account lacks: it can produce pre-emptive avoidance in residents who never touched the device - and the majority of Stage-1 respondents reported no prior FRA use - because a narrative, unlike an adverse first experience, is transmissible second-hand. The programme's instruments were aimed at the individual level and collected no sociometric or narrative-circulation data, so this rival cannot be nullified with the present evidence; it is acknowledged as a plausible systemic amplifier rather than argued away. Two points keep the concession orderly. First, the group reading is complementary, not displacing: the first interpretive consultation read the Stage-3 commitment gap through group dynamics (§6.8A), and a collective narrative still needs seed events - individual adverse verdicts of exactly the kind FIAS describes - to crystallise around. Second, the concession converts into a design requirement rather than a dead end: any intervention that reaches only the individual leaves the narrative layer intact, so the confirmatory programme should carry at least one group-level design response; §8.8 states one.</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t>The build's score economy is itself a design argument, and its two generations record a deliberate progression rather than an oversight corrected. The deployed Stage-2 and Stage-3 builds kept scoring intentionally thin - distance plus coins - for two reasons: for largely non-gaming older players the score had to be legible at a single glance, and a rich scoring apparatus makes the score more salient exactly where the programme's evidence warns that salient evaluation drives withdrawal. Once the zero-failure and trajectory findings had matured, the Stage-3B build could afford motivational depth - but enriched the economy on the gain side only, borrowing the grammar of role-playing games, in which experience points never decrease: a clean-riding combo multiplier (x1 to x3) that an obstacle bump resets, skill-dodge bonuses for near misses, a collection rate shown in place of any missed-coin penalty, and a persistent experience total with skier levels that accumulates across a participant's sessions. A deduction-based alternative (for example minus 100 points per hit) was considered and rejected on the programme's own grounds: under loss aversion, subtracting visible points converts each bump into a quantified verdict, re-importing into the scoreboard the loss economy that zero-failure design (§2.6.2C, §5.3.10) exists to remove. In the final economy, failure costs future earning rate - the reset multiplier - but never confiscates banked points; the distinction between opportunity cost and confiscation is the same distinction the framework formalises between learning-trajectory and endowment-protective appraisals (§7.3), now expressed inside the scoreboard itself. The persistent level system serves the sessions-played co-primary outcome directly: it gives a reason to return that does not depend on beating one's own record, because every session adds experience regardless of performance. The scoring formula is identical in both arms and both failure modes - it is an instrument property, not an experimental factor - and was finalised, with the rejected alternative recorded, before any participant played (protocol Amendment A).</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jc w:val="both"/>
      </w:pPr>
      <w:r>
        <w:t>A further proposition addresses the group-level layer conceded in §8.6B. A group-level problem invites a group-form counter, and role-playing structures are the strongest candidate in the game-design repertoire: a role separates the player from the identity under threat, progress-for-attempting mechanics give every session value regardless of measured performance, and cooperative framing can turn social friction into social support. Three implementation constraints, each raised and weighed during review, immediately bound the idea. Older adults in the target settings are largely non-gamers, and conventional role-playing conventions - character sheets, quest logs, progression trees - carry exactly the kind of entry cost this thesis shows produces avoidance. Role-play is cognitively demanding, and the loads it imposes - role-keeping, rule-tracking, narrative memory - are the loads that rise in cost with age. And the clinical acts themselves - an assessment, a rehabilitation session - are irreducibly individual, so a group form cannot simply be imposed on practices that happen one person at a time.</w:t>
      </w:r>
    </w:p>
    <w:p>
      <w:pPr>
        <w:jc w:val="both"/>
      </w:pPr>
      <w:r>
        <w:t>The proposition that survives these constraints is AI-managed invisible role-play, under a design principle this programme's own artefacts already instantiate: high system intelligence, low user cognitive burden. In the deployed builds the player never saw the difficulty engine; the rule agent carried the adaptive machinery while the player simply played (§5.3.5, §8.9). The proposition extends the same asymmetry one level up: the system holds the role-play architecture - persona, narrative continuity, progress-for-attempting, cooperative framing - and the user experiences only simple, dignified play. The role itself becomes an adaptive variable: where a conventional game predefines roles and asks the player to conform, here the system continuously re-fits the role to the player's observed capacities and responses, the same move the framework already makes for challenge parameters, applied to narrative content. The individual nature of clinical acts is answered by decoupling the social layer from the clinical act - the act stays individual while membership is collective, through asynchronous contribution to shared goals or system-supplied companions - and two safety constraints are non-negotiable: individual clinical metrics are never socially visible (comparative displays would amplify the very narrative the design targets, so contribution is visible and performance is not), and the fiction must not be infantilising, since a persona that reads as childish would reproduce the identity threat in costume (§6.12).</w:t>
      </w:r>
    </w:p>
    <w:p>
      <w:pPr>
        <w:jc w:val="both"/>
      </w:pPr>
      <w:r>
        <w:t>The furthest reach of the proposition is stated last because it is the least established: role-mediated play as scaffolding for the person's own adaptive-learning capacity. A well-fitted role embodies the learning-trajectory appraisal - inside the fiction, every attempt earns progress and a setback is plot rather than verdict - so the player practises trajectory-thinking without being taught it, and the design aim is that the appraisal eventually transfers from character to self. This is a three-link hypothesis chain: that a system can fit roles to players is buildable and testable; that fitted roles improve engagement is testable with the methods of this programme; that role-mediated practice transfers to the person's own appraisal habits is the hard link, a rate-and-transfer claim for which this thesis offers no evidence and which would require its own instruments - shifts in how participants speak about their own setbacks, appraisal measures taken outside the game, and behaviour observed after the fiction is withdrawn. The scaffold must also fade: the role begins as a shield, protecting identity by not being the self, and succeeds only if it ends as a bridge back to the self - how that hand-off is designed is a research question in its own right. The proposition is the natural continuation of the person-conditioned adaptation programme of §9.8B, and it preserves this thesis's calibration of the artificial-intelligence role: the system does not replace the human capacity it targets; it scaffolds it.</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t>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r>
        <w:t>9.3A The Chain of Effects: The Argument in Logical Order</w:t>
      </w:r>
    </w:p>
    <w:p>
      <w:pPr>
        <w:jc w:val="both"/>
      </w:pPr>
      <w:r>
        <w:t xml:space="preserve">The programme can now be read three ways: in calendar order (Table 3.1A), as a diary of what was learned and given up (Table 9.1), and - here - as a chain of effects, the argument in logical order. Table 9.3 states each link, its principal evidence, and its evidential status in the vocabulary this thesis has used throughout: observed, eliminated, interpreted, designed, under test, conceded. Two provenance rules govern the chain. Construct names appear at the link where the journey produced them - the self-efficacy reading of dropout belongs to the early conjecture, and FIAS was named only after Stage 2. And the Stage-1 never-users are deliberately not classified under FIAS: they had no failure experience to appraise. Stage 1 concerned the un-gamified FRA as then operated - a therapist-supported station whose demanding assessment protocol deterred participation, and whose adverse verdict carried practical consequences: prescribed balance training, and a recommendation against walking alone and freely. Fear of the verdict therefore had teeth before any game existed. The stance that later crystallised in the Stage-2 deployment's qualitative record - summarised in composite paraphrase as 'the game is fun, gamification is beneficial, the FRA is a good tool - but I do not want it telling me where my health problems are' - dates the verdict-fear motif to participants who had played the game and liked it: the feared object was the verdict, never the gameplay. </w:t>
      </w:r>
      <w:r>
        <w:rPr>
          <w:highlight w:val="yellow"/>
        </w:rPr>
        <w:t>[AUTHOR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trPr>
        <w:tc>
          <w:tcPr>
            <w:tcW w:w="661" w:type="dxa"/>
          </w:tcPr>
          <w:p>
            <w:r>
              <w:rPr>
                <w:b/>
              </w:rPr>
              <w:t>Link</w:t>
            </w:r>
          </w:p>
        </w:tc>
        <w:tc>
          <w:tcPr>
            <w:tcW w:w="3024" w:type="dxa"/>
          </w:tcPr>
          <w:p>
            <w:r>
              <w:rPr>
                <w:b/>
              </w:rPr>
              <w:t>Effect / claim</w:t>
            </w:r>
          </w:p>
        </w:tc>
        <w:tc>
          <w:tcPr>
            <w:tcW w:w="3024" w:type="dxa"/>
          </w:tcPr>
          <w:p>
            <w:r>
              <w:rPr>
                <w:b/>
              </w:rPr>
              <w:t>Principal evidence</w:t>
            </w:r>
          </w:p>
        </w:tc>
        <w:tc>
          <w:tcPr>
            <w:tcW w:w="1796" w:type="dxa"/>
          </w:tcPr>
          <w:p>
            <w:r>
              <w:rPr>
                <w:b/>
              </w:rPr>
              <w:t>Status</w:t>
            </w:r>
          </w:p>
        </w:tc>
      </w:tr>
      <w:tr>
        <w:tc>
          <w:tcPr>
            <w:tcW w:w="661" w:type="dxa"/>
          </w:tcPr>
          <w:p>
            <w:r>
              <w:t>1</w:t>
            </w:r>
          </w:p>
        </w:tc>
        <w:tc>
          <w:tcPr>
            <w:tcW w:w="3024" w:type="dxa"/>
          </w:tcPr>
          <w:p>
            <w:r>
              <w:t>Clinically valuable FRA stations fall silent despite acknowledged benefit</w:t>
            </w:r>
          </w:p>
        </w:tc>
        <w:tc>
          <w:tcPr>
            <w:tcW w:w="3024" w:type="dxa"/>
          </w:tcPr>
          <w:p>
            <w:r>
              <w:t>Site observation, 2023; Stage-1 utilisation record (Chapter 4)</w:t>
            </w:r>
          </w:p>
        </w:tc>
        <w:tc>
          <w:tcPr>
            <w:tcW w:w="1796" w:type="dxa"/>
          </w:tcPr>
          <w:p>
            <w:r>
              <w:t>Observed</w:t>
            </w:r>
          </w:p>
        </w:tc>
      </w:tr>
      <w:tr>
        <w:tc>
          <w:tcPr>
            <w:tcW w:w="661" w:type="dxa"/>
          </w:tcPr>
          <w:p>
            <w:r>
              <w:t>2</w:t>
            </w:r>
          </w:p>
        </w:tc>
        <w:tc>
          <w:tcPr>
            <w:tcW w:w="3024" w:type="dxa"/>
          </w:tcPr>
          <w:p>
            <w:r/>
            <w:r>
              <w:t>On the un-gamified, therapist-supported FRA: non-return concentrates among prior users with an adverse first experience; participation deterred by the demanding assessment and by the verdict's consequences (prescribed training, restricted independent walking)</w:t>
            </w:r>
          </w:p>
        </w:tc>
        <w:tc>
          <w:tcPr>
            <w:tcW w:w="3024" w:type="dxa"/>
          </w:tcPr>
          <w:p>
            <w:r/>
            <w:r>
              <w:t>Stage-1 survey, N=200, plus facility operating practice (Chapter 4)</w:t>
            </w:r>
          </w:p>
        </w:tc>
        <w:tc>
          <w:tcPr>
            <w:tcW w:w="1796" w:type="dxa"/>
          </w:tcPr>
          <w:p>
            <w:r>
              <w:t>Observed; self-efficacy (FIDS) reading conjectured</w:t>
            </w:r>
          </w:p>
        </w:tc>
      </w:tr>
      <w:tr>
        <w:tc>
          <w:tcPr>
            <w:tcW w:w="661" w:type="dxa"/>
          </w:tcPr>
          <w:p>
            <w:r>
              <w:t>3</w:t>
            </w:r>
          </w:p>
        </w:tc>
        <w:tc>
          <w:tcPr>
            <w:tcW w:w="3024" w:type="dxa"/>
          </w:tcPr>
          <w:p>
            <w:r>
              <w:t>An acceptance-compliant, gamified FRA is still abandoned</w:t>
            </w:r>
          </w:p>
        </w:tc>
        <w:tc>
          <w:tcPr>
            <w:tcW w:w="3024" w:type="dxa"/>
          </w:tcPr>
          <w:p>
            <w:r>
              <w:t>Stage 2: 70% disengaged at &lt;=3 cycles; 0/21 re-engagement (Chapter 5)</w:t>
            </w:r>
          </w:p>
        </w:tc>
        <w:tc>
          <w:tcPr>
            <w:tcW w:w="1796" w:type="dxa"/>
          </w:tcPr>
          <w:p>
            <w:r>
              <w:t>Observed</w:t>
            </w:r>
          </w:p>
        </w:tc>
      </w:tr>
      <w:tr>
        <w:tc>
          <w:tcPr>
            <w:tcW w:w="661" w:type="dxa"/>
          </w:tcPr>
          <w:p>
            <w:r>
              <w:t>4</w:t>
            </w:r>
          </w:p>
        </w:tc>
        <w:tc>
          <w:tcPr>
            <w:tcW w:w="3024" w:type="dxa"/>
          </w:tcPr>
          <w:p>
            <w:r>
              <w:t>Difficulty and competence cannot carry the account</w:t>
            </w:r>
          </w:p>
        </w:tc>
        <w:tc>
          <w:tcPr>
            <w:tcW w:w="3024" w:type="dxa"/>
          </w:tcPr>
          <w:p>
            <w:r>
              <w:t>Score-improvement/non-return paradox (§5.6); satisfaction among sustainers; attrition rival answered (§8.5.9)</w:t>
            </w:r>
          </w:p>
        </w:tc>
        <w:tc>
          <w:tcPr>
            <w:tcW w:w="1796" w:type="dxa"/>
          </w:tcPr>
          <w:p>
            <w:r>
              <w:t>Eliminated (within-cohort)</w:t>
            </w:r>
          </w:p>
        </w:tc>
      </w:tr>
      <w:tr>
        <w:tc>
          <w:tcPr>
            <w:tcW w:w="661" w:type="dxa"/>
          </w:tcPr>
          <w:p>
            <w:r>
              <w:t>5</w:t>
            </w:r>
          </w:p>
        </w:tc>
        <w:tc>
          <w:tcPr>
            <w:tcW w:w="3024" w:type="dxa"/>
          </w:tcPr>
          <w:p>
            <w:r>
              <w:t>Self-efficacy explains the dropout moment but not its permanence</w:t>
            </w:r>
          </w:p>
        </w:tc>
        <w:tc>
          <w:tcPr>
            <w:tcW w:w="3024" w:type="dxa"/>
          </w:tcPr>
          <w:p>
            <w:r>
              <w:t>§2.4.4; Stage-2 pattern of absolute, non-returning exits</w:t>
            </w:r>
          </w:p>
        </w:tc>
        <w:tc>
          <w:tcPr>
            <w:tcW w:w="1796" w:type="dxa"/>
          </w:tcPr>
          <w:p>
            <w:r>
              <w:t>Partial - first diagnostic layer</w:t>
            </w:r>
          </w:p>
        </w:tc>
      </w:tr>
      <w:tr>
        <w:tc>
          <w:tcPr>
            <w:tcW w:w="661" w:type="dxa"/>
          </w:tcPr>
          <w:p>
            <w:r>
              <w:t>6</w:t>
            </w:r>
          </w:p>
        </w:tc>
        <w:tc>
          <w:tcPr>
            <w:tcW w:w="3024" w:type="dxa"/>
          </w:tcPr>
          <w:p>
            <w:r>
              <w:t>Loss aversion on an identity-level asset makes retry a gamble on unwelcome bodily evidence; FIAS named</w:t>
            </w:r>
          </w:p>
        </w:tc>
        <w:tc>
          <w:tcPr>
            <w:tcW w:w="3024" w:type="dxa"/>
          </w:tcPr>
          <w:p>
            <w:r>
              <w:t>§5.6–5.7 appraisal account; expert corroboration (§6.12, Appendix H)</w:t>
            </w:r>
          </w:p>
        </w:tc>
        <w:tc>
          <w:tcPr>
            <w:tcW w:w="1796" w:type="dxa"/>
          </w:tcPr>
          <w:p>
            <w:r>
              <w:t>Interpreted (construct, post-Stage-2)</w:t>
            </w:r>
          </w:p>
        </w:tc>
      </w:tr>
      <w:tr>
        <w:tc>
          <w:tcPr>
            <w:tcW w:w="661" w:type="dxa"/>
          </w:tcPr>
          <w:p>
            <w:r>
              <w:t>7</w:t>
            </w:r>
          </w:p>
        </w:tc>
        <w:tc>
          <w:tcPr>
            <w:tcW w:w="3024" w:type="dxa"/>
          </w:tcPr>
          <w:p>
            <w:r>
              <w:t>The same mechanics without the clinical attachment are accepted and returned to</w:t>
            </w:r>
          </w:p>
        </w:tc>
        <w:tc>
          <w:tcPr>
            <w:tcW w:w="3024" w:type="dxa"/>
          </w:tcPr>
          <w:p>
            <w:r>
              <w:t>Stage 3: 85.4% in-session retention (65-80); return restored (Chapter 6)</w:t>
            </w:r>
          </w:p>
        </w:tc>
        <w:tc>
          <w:tcPr>
            <w:tcW w:w="1796" w:type="dxa"/>
          </w:tcPr>
          <w:p>
            <w:r>
              <w:t>Observed; design eliminated (consistent-with, §6.7 calibration)</w:t>
            </w:r>
          </w:p>
        </w:tc>
      </w:tr>
      <w:tr>
        <w:tc>
          <w:tcPr>
            <w:tcW w:w="661" w:type="dxa"/>
          </w:tcPr>
          <w:p>
            <w:r>
              <w:t>8</w:t>
            </w:r>
          </w:p>
        </w:tc>
        <w:tc>
          <w:tcPr>
            <w:tcW w:w="3024" w:type="dxa"/>
          </w:tcPr>
          <w:p>
            <w:r>
              <w:t>A boundary condition for gamification theory: the theory holds until the game is attached to an identity-relevant clinical verdict</w:t>
            </w:r>
          </w:p>
        </w:tc>
        <w:tc>
          <w:tcPr>
            <w:tcW w:w="3024" w:type="dxa"/>
          </w:tcPr>
          <w:p>
            <w:r>
              <w:t>Stages 2-3 jointly (§8.1)</w:t>
            </w:r>
          </w:p>
        </w:tc>
        <w:tc>
          <w:tcPr>
            <w:tcW w:w="1796" w:type="dxa"/>
          </w:tcPr>
          <w:p>
            <w:r>
              <w:t>Interpreted - scope finding</w:t>
            </w:r>
          </w:p>
        </w:tc>
      </w:tr>
      <w:tr>
        <w:tc>
          <w:tcPr>
            <w:tcW w:w="661" w:type="dxa"/>
          </w:tcPr>
          <w:p>
            <w:r>
              <w:t>9</w:t>
            </w:r>
          </w:p>
        </w:tc>
        <w:tc>
          <w:tcPr>
            <w:tcW w:w="3024" w:type="dxa"/>
          </w:tcPr>
          <w:p>
            <w:r>
              <w:t>Adaptive learning with zero-failure presentation as the design counter</w:t>
            </w:r>
          </w:p>
        </w:tc>
        <w:tc>
          <w:tcPr>
            <w:tcW w:w="3024" w:type="dxa"/>
          </w:tcPr>
          <w:p>
            <w:r>
              <w:t>Framework (Chapter 7); Stage 3B pre-registered 2x2 (§8.8)</w:t>
            </w:r>
          </w:p>
        </w:tc>
        <w:tc>
          <w:tcPr>
            <w:tcW w:w="1796" w:type="dxa"/>
          </w:tcPr>
          <w:p>
            <w:r>
              <w:t>Designed; under test</w:t>
            </w:r>
          </w:p>
        </w:tc>
      </w:tr>
      <w:tr>
        <w:tc>
          <w:tcPr>
            <w:tcW w:w="661" w:type="dxa"/>
          </w:tcPr>
          <w:p>
            <w:r>
              <w:t>10</w:t>
            </w:r>
          </w:p>
        </w:tc>
        <w:tc>
          <w:tcPr>
            <w:tcW w:w="3024" w:type="dxa"/>
          </w:tcPr>
          <w:p>
            <w:r>
              <w:t>Habit formation, appraisal transfer, and the group-narrative layer</w:t>
            </w:r>
          </w:p>
        </w:tc>
        <w:tc>
          <w:tcPr>
            <w:tcW w:w="3024" w:type="dxa"/>
          </w:tcPr>
          <w:p>
            <w:r>
              <w:t>§8.6B concession; §8.8 propositions; §9.8B</w:t>
            </w:r>
          </w:p>
        </w:tc>
        <w:tc>
          <w:tcPr>
            <w:tcW w:w="1796" w:type="dxa"/>
          </w:tcPr>
          <w:p>
            <w:r>
              <w:t>Hypothesised / conceded</w:t>
            </w:r>
          </w:p>
        </w:tc>
      </w:tr>
    </w:tbl>
    <w:p>
      <w:pPr>
        <w:pStyle w:val="FigureCaption"/>
      </w:pPr>
      <w:r>
        <w:t>Table 9.3. The chain of effects: each link of the argument, its principal evidence, and its evidential status. Constructs are dated to the link where the journey produced them.</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jc w:val="both"/>
      </w:pPr>
      <w:r>
        <w:t>The role-adaptive proposition of §8.8 is the fullest expression of this extension: person-conditioned adaptation applied not only to challenge parameters but to the narrative role itself, with the design aim that what ultimately develops is not the system's model of the person but the person's own adaptive-learning capacity.</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