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examines how gamified design, deployed proactively rather than as a remedial overlay, may address failure-associated non-return in an older-adult health-technology setting. Fall Risk Assessment (FRA) is used as the working case. The thesis advances a frame-sensitive account in which clinical or diagnostic presentation may alter the behavioural meaning of failure, and it develops adaptive, learning-oriented design as an engineering response for prospective testing. The behavioural-economic mechanisms proposed in the thesis - mental accounting of health outcomes, identity protection,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lastRenderedPageBreak/>
        <w:t>Taken together, the findings are consistent with a coupling or framing account: when a gamified activity is presented as part of an artefact-based clinical assessment, failure may acquire identity-relevant meaning and be associated with non-return; under participant-facing decoupling in a separate cohort, post-failure return was substantially higher. The design does not isolate framing from every cohort, recruitment and contextual difference, so the evidence supports rather than proves the coupling account. The 35.6-percentage-point difference between in-session retention (86.7%) and regular-use intention (51.1%) in the 65-80 band is a descriptive commitment gap and does not identify a single mechanism. The thesis therefore proposes, rather than empirically confirms, a Learning-Oriented Design Framework (LODF) comprising identity disentanglement, trajectory installation and adaptive calibration. Endowment-protective appraisal and learning-trajectory appraisal are framed as competing interpretive regimes rather than mutually exclusive psychological states. The contributions are theoretical (FIAS as a provisional behavioural construct and a candidate frame-sensitive mechanism), methodological (the dual-purpose mechanic, theory-iterating action research, a between-cohort quasi-experimental decoupling comparison and commitment-gap measurement), empirical (convergent field evidence consistent with a frame-sensitive account, pending within-cohort confirmation), and practical (an engineering-actionable framework deployable on existing infrastructure and specified for future controlled evaluation).</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pPr>
        <w:pStyle w:val="TOC1"/>
      </w:pPr>
      <w:r>
        <w:t>Table 3.1. The hypothesis architecture of the programme: where each claim originates, is stated, is tested, and stands.</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 xml:space="preserve">Stage 3 was the programme's strongest empirical challenge to a purely dispositional explanation. By the close of Stage 2, FIAS had been specified as a provisional construct </w:t>
      </w:r>
      <w:r>
        <w:lastRenderedPageBreak/>
        <w:t>and a behavioural-economic mechanism had been proposed. What remained unresolved was whether the observed non-return pattern was primarily a property of the Guangzhou cohort, a property of the coupled clinical-game context, or a combination of both. A separate-cohort decoupling study could provide important directional evidence, but it could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consistent with frame suppression and inconsistent with the strongest form of a purely dispositional account. They do not rule out cohort self-selection, setting, recruitment, health-status, staff-interaction or observation-window differences. The comparison is therefore described as a between-cohort quasi-experimental decoupling study rather than a single-variable experiment. The residual 35.6-percentage-point difference in the 65-80 band between in-session retention and regular-use intention identifies a practical design problem that remains. Adaptive learning, formalised in Chapter 7 as LODF, is proposed as one theoretically grounded response among several candidates, including fatigue management, access support, shorter sessions and alternative coaching strategies.</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identify, name and characterise a pattern of failure-associated non-return to a gamified health technology among older adults, to examine whether participant-facing clinical framing may moderate that pattern, and to translate the resulting evidence into an engineering design framework that can be tested and deployed on existing infrastructure.</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Theoretically, it identifies failure-associated non-return as a post-contact problem not explicitly represented in standard acceptance and gamification models, integrates technology acceptance, gamification, self-efficacy and behavioural-economics literatures, and advances FIAS as a provisional frame-sensitive behavioural construct. Mental accounting, identity-level endowment, loss aversion and stereotype threat are proposed as candidate mechanisms and are not claimed to have been directly measured. Methodologically, the thesis introduces the dual-purpose mechanic, documents a Claude Code-assisted development workflow, uses theory-iterating action research with explicit revision points, conducts a between-cohort quasi-experimental participant-facing decoupling comparison, and measures the difference between in-session retention and stated regular-use intention. Empirically, it reports a strong association between first failure and observed dropout in Stage 2 and a substantial increase in post-failure return in the separate Stage-3 decoupled cohort, while explicitly retaining the need for within-cohort confirmation. Practically, it specifies the learn-to-earn philosophy and LODF as deployable engineering responses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Part I (Chapters 2 and 3) establishes the theoretical and methodological foundation. Chapter 2 develops a five-stage argument from technology acceptance and gamification through self-efficacy, behavioural economics and learning-oriented design, while distinguishing established literature from the thesis's candidate mechanisms. Chapter 3 specifies the action-research methodology, the analytical status of each stage and the limitations of the between-cohort comparison. Part II (Chapters 4, 5 and 6) reports the Stage-1 survey, the Stage-2 gamified FRA deployment and the Stage-3 participant-facing decoupling study. Part III (Chapters 7 and 8) develops LODF as an engineering framework, identifies its empirical anchors and untested components, and examines alternative explanations, limitations, ethics and reproducibility. Chapter 9 synthesises the findings using an explicit hierarchy of observed results, inferred mechanisms and proposed design responses, and sets out the controlled studies required for confirmation and generalisation.</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LODF, as the design programme. These revisions are changes in working explanation; they are not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 xml:space="preserve">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w:t>
      </w:r>
      <w:r>
        <w:rPr>
          <w:b/>
          <w:highlight w:val="yellow"/>
        </w:rPr>
        <w:t>[AUTHOR INPUT REQUIRED: report one exact participant flow and denominator consistently; the working text contains both approximately 200 and approximately 280 — verify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w:t>
      </w:r>
      <w:r>
        <w:t xml:space="preserve">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combined association of the decoupled condition and its context with behaviour;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w:t>
      </w:r>
    </w:p>
    <w:p>
      <w:pPr>
        <w:pStyle w:val="TableCaption"/>
      </w:pPr>
      <w: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
              <w:rPr>
                <w:b/>
              </w:rPr>
              <w:t>Claim</w:t>
            </w:r>
          </w:p>
        </w:tc>
        <w:tc>
          <w:tcPr>
            <w:tcW w:type="dxa" w:w="1701"/>
          </w:tcPr>
          <w:p>
            <w:r/>
            <w:r>
              <w:rPr>
                <w:b/>
              </w:rPr>
              <w:t>Origin</w:t>
            </w:r>
          </w:p>
        </w:tc>
        <w:tc>
          <w:tcPr>
            <w:tcW w:type="dxa" w:w="1701"/>
          </w:tcPr>
          <w:p>
            <w:r/>
            <w:r>
              <w:rPr>
                <w:b/>
              </w:rPr>
              <w:t>Stated</w:t>
            </w:r>
          </w:p>
        </w:tc>
        <w:tc>
          <w:tcPr>
            <w:tcW w:type="dxa" w:w="1701"/>
          </w:tcPr>
          <w:p>
            <w:r/>
            <w:r>
              <w:rPr>
                <w:b/>
              </w:rPr>
              <w:t>Tested / examined</w:t>
            </w:r>
          </w:p>
        </w:tc>
        <w:tc>
          <w:tcPr>
            <w:tcW w:type="dxa" w:w="1701"/>
          </w:tcPr>
          <w:p>
            <w:r/>
            <w:r>
              <w:rPr>
                <w:b/>
              </w:rPr>
              <w:t>Status in this thesis</w:t>
            </w:r>
          </w:p>
        </w:tc>
      </w:tr>
      <w:tr>
        <w:tc>
          <w:tcPr>
            <w:tcW w:type="dxa" w:w="1701"/>
          </w:tcPr>
          <w:p>
            <w:r/>
            <w:r>
              <w:t>H0 — gamified FRA satisfying TAM/STAM + Octalysis sustains elderly acceptance; failure does not produce abandonment</w:t>
            </w:r>
          </w:p>
        </w:tc>
        <w:tc>
          <w:tcPr>
            <w:tcW w:type="dxa" w:w="1701"/>
          </w:tcPr>
          <w:p>
            <w:r/>
            <w:r>
              <w:t>Literature (acceptance + gamification)</w:t>
            </w:r>
          </w:p>
        </w:tc>
        <w:tc>
          <w:tcPr>
            <w:tcW w:type="dxa" w:w="1701"/>
          </w:tcPr>
          <w:p>
            <w:r/>
            <w:r>
              <w:t>§2.3.5; §5.1</w:t>
            </w:r>
          </w:p>
        </w:tc>
        <w:tc>
          <w:tcPr>
            <w:tcW w:type="dxa" w:w="1701"/>
          </w:tcPr>
          <w:p>
            <w:r/>
            <w:r>
              <w:t>Stage 1 retrospectively (Ch 4); Stage 2 prospectively (Ch 5)</w:t>
            </w:r>
          </w:p>
        </w:tc>
        <w:tc>
          <w:tcPr>
            <w:tcW w:type="dxa" w:w="1701"/>
          </w:tcPr>
          <w:p>
            <w:r/>
            <w:r>
              <w:t>Rejected</w:t>
            </w:r>
          </w:p>
        </w:tc>
      </w:tr>
      <w:tr>
        <w:tc>
          <w:tcPr>
            <w:tcW w:type="dxa" w:w="1701"/>
          </w:tcPr>
          <w:p>
            <w:r/>
            <w:r>
              <w:t>H1–H4 — directional hypotheses on first failure, re-engagement, social comparison, and the improvement/non-return paradox</w:t>
            </w:r>
          </w:p>
        </w:tc>
        <w:tc>
          <w:tcPr>
            <w:tcW w:type="dxa" w:w="1701"/>
          </w:tcPr>
          <w:p>
            <w:r/>
            <w:r>
              <w:t>Stage-1 observations</w:t>
            </w:r>
          </w:p>
        </w:tc>
        <w:tc>
          <w:tcPr>
            <w:tcW w:type="dxa" w:w="1701"/>
          </w:tcPr>
          <w:p>
            <w:r/>
            <w:r>
              <w:t>§5.1</w:t>
            </w:r>
          </w:p>
        </w:tc>
        <w:tc>
          <w:tcPr>
            <w:tcW w:type="dxa" w:w="1701"/>
          </w:tcPr>
          <w:p>
            <w:r/>
            <w:r>
              <w:t>Stage 2 (Ch 5)</w:t>
            </w:r>
          </w:p>
        </w:tc>
        <w:tc>
          <w:tcPr>
            <w:tcW w:type="dxa" w:w="1701"/>
          </w:tcPr>
          <w:p>
            <w:r/>
            <w:r>
              <w:t>Directionally supported within a small single-site sample</w:t>
            </w:r>
          </w:p>
        </w:tc>
      </w:tr>
      <w:tr>
        <w:tc>
          <w:tcPr>
            <w:tcW w:type="dxa" w:w="1701"/>
          </w:tcPr>
          <w:p>
            <w:r/>
            <w:r>
              <w:t>H5 and the Stage-3 predictions — decoupling is associated with lower non-return and post-failure return</w:t>
            </w:r>
          </w:p>
        </w:tc>
        <w:tc>
          <w:tcPr>
            <w:tcW w:type="dxa" w:w="1701"/>
          </w:tcPr>
          <w:p>
            <w:r/>
            <w:r>
              <w:t>Stage-2 findings (mental-accounting row of Table 2.1)</w:t>
            </w:r>
          </w:p>
        </w:tc>
        <w:tc>
          <w:tcPr>
            <w:tcW w:type="dxa" w:w="1701"/>
          </w:tcPr>
          <w:p>
            <w:r/>
            <w:r>
              <w:t>§5.1; §6.2</w:t>
            </w:r>
          </w:p>
        </w:tc>
        <w:tc>
          <w:tcPr>
            <w:tcW w:type="dxa" w:w="1701"/>
          </w:tcPr>
          <w:p>
            <w:r/>
            <w:r>
              <w:t>Stage 3 (Ch 6)</w:t>
            </w:r>
          </w:p>
        </w:tc>
        <w:tc>
          <w:tcPr>
            <w:tcW w:type="dxa" w:w="1701"/>
          </w:tcPr>
          <w:p>
            <w:r/>
            <w:r>
              <w:t>Supported as association; attribution bounded by the between-cohort design</w:t>
            </w:r>
          </w:p>
        </w:tc>
      </w:tr>
      <w:tr>
        <w:tc>
          <w:tcPr>
            <w:tcW w:type="dxa" w:w="1701"/>
          </w:tcPr>
          <w:p>
            <w:r/>
            <w:r>
              <w:t>Adaptive-learning proposition — individual-level continuous improvement as the behavioural-change driver that can re-attach clinical purpose</w:t>
            </w:r>
          </w:p>
        </w:tc>
        <w:tc>
          <w:tcPr>
            <w:tcW w:type="dxa" w:w="1701"/>
          </w:tcPr>
          <w:p>
            <w:r/>
            <w:r>
              <w:t>Discovery: forced by the H0 rejection and the Stage-3 commitment gap</w:t>
            </w:r>
          </w:p>
        </w:tc>
        <w:tc>
          <w:tcPr>
            <w:tcW w:type="dxa" w:w="1701"/>
          </w:tcPr>
          <w:p>
            <w:r/>
            <w:r>
              <w:t>§6.8; Ch 7 (LODF)</w:t>
            </w:r>
          </w:p>
        </w:tc>
        <w:tc>
          <w:tcPr>
            <w:tcW w:type="dxa" w:w="1701"/>
          </w:tcPr>
          <w:p>
            <w:r/>
            <w:r>
              <w:t>Not yet tested in isolation</w:t>
            </w:r>
          </w:p>
        </w:tc>
        <w:tc>
          <w:tcPr>
            <w:tcW w:type="dxa" w:w="1701"/>
          </w:tcPr>
          <w:p>
            <w:r/>
            <w:r>
              <w:t>Proposed; isolated evaluation pre-specified in §8.8 and instrumented in §3.6</w:t>
            </w:r>
          </w:p>
        </w:tc>
      </w:tr>
    </w:tbl>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r>
        <w:rPr>
          <w:b/>
          <w:highlight w:val="yellow"/>
        </w:rPr>
        <w:t>[AUTHOR: optionally regenerate Figure 3.1 so its stage labels carry the same terms — 'field signal', 'H0 test', 'attribution experiment', 'formalisation' — used in Table 3.1.]</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r>
        <w:t>One further methodological boundary is stated here because examiners are entitled to ask it directly: the hypothesis architecture of Table 3.1 distinguishes confirmation from discovery, and the thesis does not blur the two. H0 formalises the expectation that genuinely governed the Stage-2 design at the time it was built — the game was engineered to satisfy the acceptance and gamification criteria precisely because the programme expected them to be sufficient. The directional hypotheses H1–H5 were framed stage by stage as the cycles progressed, in the ordinary manner of action research, and are reported as such rather than as pre-registered tests. The adaptive-learning proposition is explicitly a post-hoc discovery: it was formed after the Stage-3 commitment gap was observed, it is claimed only as a proposition, and its confirmatory test is deferred to the pre-specified study of §8.8. Nothing discovered in the data is presented as if it had been predicted in advance.</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w:t>
      </w:r>
      <w:r>
        <w:rPr>
          <w:b/>
          <w:highlight w:val="yellow"/>
        </w:rPr>
        <w:t>[AUTHOR INPUT REQUIRED: replace the approximate sample size with the exact numbers approached, eligible, consenting and completing, together with item-level missingness, from the archived survey log.]</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reconcile N≈200 versus N≈280 against the archived participant log;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low learning-oriented proportion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LODF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This chapter formalises the programme's principal design discovery. Chapter 6 ended on a dilemma: decoupling removed what was poisoning engagement — post-failure return rose substantially in the decoupled cohort — but it added no positive reason for repeated use, as the 35.6-percentage-point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motivates this discovery; it does not establish that adaptive learning will close the observed gap, and this chapter maintains that distinction throughout.</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LODF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it establishes a boundary condition for gamification theory: the theory holds for older adults, as Stage 3 confirms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LODF, which is the packaging of the discovery rather than a finding in its own right. The thesis does not claim to have verified mental accounting, established an entropy collapse, dissolved the score-improvement/non-return paradox, or tested adaptive learning in isolation.</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Claude Code-assisted development workflow;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LODF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rescue gamification theory for elderly engagement. Stage 3 functioned as the programme's positive control (§6.1): the same apparatus and mechanics, decoupled from the clinical attachment, were accepted by the elderly cohort at levels the gamification literature predicts — which means the theory stack of Chapter 2, including the An–Cheung demonstration, transfers to this population after all.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LODF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LODF packaging. The thesis does not claim empirical verification of mental accounting, irreversible account closure, mutual exclusion between the appraisals, or an isolated adaptive-learning effect.</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first, a deployable principle — build elderly health-technology engagement around adaptive learning, the visible continuous improvement of the individual user — and second, its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14:paraId="3CB31C06" w14:textId="77777777" w:rsidR="0062437E" w:rsidRDefault="00000000">
      <w:pPr>
        <w:jc w:val="both"/>
      </w:pPr>
      <w: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