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disengaged at or before three game cycles, and none re-engaged within the study window (0/21; 95% CI 0.0-15.5%) - including three participants whose recorded balance index improved during their only session. The knowledge was created, captured and delivered; its acceptance collapsed.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not only lowers interest but can produce an identity-driven negative reaction.</w:t>
      </w:r>
    </w:p>
    <w:p>
      <w:pPr>
        <w:pStyle w:val="Heading2"/>
      </w:pPr>
      <w:r>
        <w:t>H. Behaviour-Change Lens: COM-B</w:t>
      </w:r>
    </w:p>
    <w:p>
      <w:r>
        <w:t>In COM-B terms (Michie et al., 2011),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 entropy, H(p) = −Σ pᵢ log₂ pᵢ (Shannon, 1948),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2"/>
      </w:pPr>
      <w:r>
        <w:t>J. 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August 2026).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Over eight weeks each participant played the gamified FRA at the station in attended sessions. This was a single-group observational field study of dropout patterns, not a randomised controlled trial.</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shows the deployed presentation across the five difficulty levels.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the successor build in the same design lineage as the deployed system.</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1"/>
      </w:pPr>
      <w:r>
        <w:t>VII. Data Collection and Measures</w:t>
      </w:r>
    </w:p>
    <w:p>
      <w:r>
        <w:t>Because the dual-purpose input routes the pressure-panel signal into the FRA measurement pathway, every play produced an assessment index; no separate game-independent baseline assessment was administered. Each session involved performance on the gamified task with its FRA index output, a five-point satisfaction rating, and self-reported symptom change at follow-up. Five variables were collected per participant: V1 cycles completed; V2 pre/post FRA index, where the 'before' value is the index from the participant's first play and the 'after' value is the index from the final play, at whatever week it occurred; V3 symptom change; V4 satisfaction; V5 age and gender. Pre/post changes therefore span different exposure durations; for single-session participants both values derive from within that session; and any familiarisation effect at first exposure is contained in the measured change.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No time-to-event modelling is used or reported (Section VII-A).</w:t>
      </w:r>
    </w:p>
    <w:p>
      <w:pPr>
        <w:pStyle w:val="Heading2"/>
      </w:pPr>
      <w:r>
        <w:t>B. 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3 reports the low-engagement group: despite minimal engagement, it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C. 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(Eysenbach, 2005). The 26.7% single-session exit rate marks the first session as the highest-risk point (Figure 5). No time-to-event model is reported: the archive preserves cycle counts, not timestamps. The evidential core of the pattern is carried by the three directly observed quantities in Table 4 and by the satisfaction association above.</w:t>
      </w:r>
    </w:p>
    <w:p>
      <w:r>
        <w:rPr>
          <w:i/>
          <w:sz w:val="18"/>
        </w:rPr>
        <w:t>Figure 5. Participant flow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1"/>
      </w:pPr>
      <w:r>
        <w:t>IX. Qualitative Coding and the FIAS Composite</w:t>
      </w:r>
    </w:p>
    <w:p>
      <w:r>
        <w:t>All 30 participants were coded with thirteen binary attributes (Table 5)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6;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B. RQ2: Why Does Abandonment Persist?</w:t>
      </w:r>
    </w:p>
    <w:p>
      <w:r>
        <w:t>The pattern has three defining features. It is early: 70.0% disengaged at or before three cycles, 26.7% after one session. It is absolute within the window: none of 21 disengaged participants returned (95% CI 0.0-15.5%), unlike ordinary usage attrition (Eysenbach, 2005).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exits clustered at or before three cycles, none of the 21 disengaged participants re-engaged,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w:t>
      </w:r>
    </w:p>
    <w:p>
      <w:pPr>
        <w:pStyle w:val="Heading1"/>
      </w:pPr>
      <w:r>
        <w:t>XIII. 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